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9DFA" w14:textId="0D12DE14" w:rsidR="0045128F" w:rsidRDefault="0045128F"/>
    <w:p w14:paraId="69727D1E" w14:textId="77777777" w:rsidR="00B52B59" w:rsidRDefault="00B52B59" w:rsidP="0007265B">
      <w:pPr>
        <w:jc w:val="center"/>
        <w:rPr>
          <w:b/>
          <w:bCs/>
          <w:sz w:val="28"/>
          <w:szCs w:val="28"/>
        </w:rPr>
      </w:pPr>
    </w:p>
    <w:p w14:paraId="27DE57B2" w14:textId="02F42C09" w:rsidR="0001253E" w:rsidRDefault="0007265B" w:rsidP="0007265B">
      <w:pPr>
        <w:jc w:val="center"/>
        <w:rPr>
          <w:b/>
          <w:bCs/>
          <w:sz w:val="28"/>
          <w:szCs w:val="28"/>
        </w:rPr>
      </w:pPr>
      <w:bookmarkStart w:id="0" w:name="_Hlk117675202"/>
      <w:r w:rsidRPr="0007265B">
        <w:rPr>
          <w:b/>
          <w:bCs/>
          <w:sz w:val="28"/>
          <w:szCs w:val="28"/>
        </w:rPr>
        <w:t>AFMA Fallback Language Template for Floating Rate Notes</w:t>
      </w:r>
    </w:p>
    <w:bookmarkEnd w:id="0"/>
    <w:p w14:paraId="1A93BF5B" w14:textId="071085F6" w:rsidR="0007265B" w:rsidRPr="0007265B" w:rsidRDefault="0007265B" w:rsidP="0007265B">
      <w:pPr>
        <w:jc w:val="center"/>
      </w:pPr>
      <w:r>
        <w:t>[1 November</w:t>
      </w:r>
      <w:r w:rsidRPr="0007265B">
        <w:t xml:space="preserve"> 2022</w:t>
      </w:r>
      <w:r>
        <w:t>]</w:t>
      </w:r>
    </w:p>
    <w:p w14:paraId="2ED4B596" w14:textId="31470479" w:rsidR="0001253E" w:rsidRDefault="0001253E" w:rsidP="00601850">
      <w:pPr>
        <w:jc w:val="both"/>
      </w:pPr>
    </w:p>
    <w:p w14:paraId="0F78BAD7" w14:textId="4934BAC8" w:rsidR="0001253E" w:rsidRPr="0001253E" w:rsidRDefault="0001253E" w:rsidP="00601850">
      <w:pPr>
        <w:spacing w:line="276" w:lineRule="auto"/>
        <w:jc w:val="both"/>
        <w:rPr>
          <w:b/>
          <w:bCs/>
          <w:sz w:val="24"/>
          <w:szCs w:val="24"/>
        </w:rPr>
      </w:pPr>
      <w:r w:rsidRPr="0001253E">
        <w:rPr>
          <w:b/>
          <w:bCs/>
          <w:sz w:val="24"/>
          <w:szCs w:val="24"/>
        </w:rPr>
        <w:t>1.1</w:t>
      </w:r>
      <w:r w:rsidRPr="0001253E">
        <w:rPr>
          <w:b/>
          <w:bCs/>
          <w:sz w:val="24"/>
          <w:szCs w:val="24"/>
        </w:rPr>
        <w:tab/>
        <w:t>Benchmark Rate Determination</w:t>
      </w:r>
    </w:p>
    <w:p w14:paraId="25A483CD" w14:textId="7221F808" w:rsidR="0001253E" w:rsidRDefault="0001253E" w:rsidP="00601850">
      <w:pPr>
        <w:pStyle w:val="ListParagraph"/>
        <w:numPr>
          <w:ilvl w:val="0"/>
          <w:numId w:val="7"/>
        </w:numPr>
        <w:spacing w:before="120" w:line="276" w:lineRule="auto"/>
        <w:ind w:left="714" w:hanging="357"/>
        <w:contextualSpacing w:val="0"/>
        <w:jc w:val="both"/>
      </w:pPr>
      <w:r>
        <w:t xml:space="preserve">Where BBSW Rate Determination or AONIA Rate Determination is specified in the relevant Pricing Supplement as the manner in which the Interest Rate is to be determined for each Interest Period, the Interest Rate applicable to the Floating Rate Notes for each such Interest Period is the sum of the Margin and either (x) the BBSW Rate or (y) the AONIA Rate as specified in the relevant Pricing Supplement.  </w:t>
      </w:r>
    </w:p>
    <w:p w14:paraId="33612411" w14:textId="3419EB09" w:rsidR="0001253E" w:rsidRDefault="0001253E" w:rsidP="00601850">
      <w:pPr>
        <w:pStyle w:val="ListParagraph"/>
        <w:numPr>
          <w:ilvl w:val="0"/>
          <w:numId w:val="7"/>
        </w:numPr>
        <w:spacing w:before="120" w:line="276" w:lineRule="auto"/>
        <w:ind w:left="714" w:hanging="357"/>
        <w:contextualSpacing w:val="0"/>
        <w:jc w:val="both"/>
      </w:pPr>
      <w:r>
        <w:t xml:space="preserve">Each Note Holder shall be deemed to acknowledge, accept and agree to be bound by, and consents to, the determination of, substitution for and any adjustments made to the BBSW Rate or the AONIA Rate, as applicable, in each case as described in this Condition [1.1] and in Condition [1.2] (“Benchmark Rate fallback”) below (in all cases without the need for any Note Holder consent).  Any determination, decision or election (including a decision to take or refrain from taking any action or as to the occurrence or non-occurrence of any event or circumstance), and any substitution for and adjustments made to, the BBSW Rate or the AONIA Rate, as applicable, and in each case made in accordance with this Condition [1.1] and Condition [1.2], will, in the absence of manifest or proven error, be conclusive and binding on the Issuer, the Note Holder and each Agent and, notwithstanding anything to the contrary in these Conditions or other documentation relating to the Notes, shall become effective without the consent of any person. </w:t>
      </w:r>
    </w:p>
    <w:p w14:paraId="30B17CCA" w14:textId="5A37E38D" w:rsidR="0001253E" w:rsidRDefault="0001253E" w:rsidP="00601850">
      <w:pPr>
        <w:pStyle w:val="ListParagraph"/>
        <w:numPr>
          <w:ilvl w:val="0"/>
          <w:numId w:val="7"/>
        </w:numPr>
        <w:spacing w:before="120" w:line="276" w:lineRule="auto"/>
        <w:ind w:left="714" w:hanging="357"/>
        <w:contextualSpacing w:val="0"/>
        <w:jc w:val="both"/>
      </w:pPr>
      <w:r>
        <w:t>If the Calculation Agent is unwilling or unable to determine a necessary rate, adjustment, quantum, formula, methodology or other variable in order to calculate the applicable Interest Rate,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p>
    <w:p w14:paraId="240D1858" w14:textId="2E9D6D47" w:rsidR="00B52B59" w:rsidRDefault="0001253E" w:rsidP="00601850">
      <w:pPr>
        <w:pStyle w:val="ListParagraph"/>
        <w:numPr>
          <w:ilvl w:val="0"/>
          <w:numId w:val="7"/>
        </w:numPr>
        <w:spacing w:before="120" w:line="276" w:lineRule="auto"/>
        <w:ind w:left="714" w:hanging="357"/>
        <w:contextualSpacing w:val="0"/>
        <w:jc w:val="both"/>
      </w:pPr>
      <w:r>
        <w:t>All rates determined pursuant to this Condition [1] shall be expressed as a percentage rate per annum and the resulting percentage will be rounded if necessary to the fourth decimal place (i.e., to the nearest one ten-thousandth of a percentage point) with 0.0005 being rounded upwards.</w:t>
      </w:r>
      <w:r w:rsidR="001B7B0A">
        <w:rPr>
          <w:rStyle w:val="FootnoteReference"/>
        </w:rPr>
        <w:footnoteReference w:id="1"/>
      </w:r>
      <w:r>
        <w:t xml:space="preserve"> </w:t>
      </w:r>
    </w:p>
    <w:p w14:paraId="12D815D7" w14:textId="77777777" w:rsidR="00B52B59" w:rsidRDefault="00B52B59">
      <w:r>
        <w:br w:type="page"/>
      </w:r>
    </w:p>
    <w:p w14:paraId="256B9BF9" w14:textId="1938716F" w:rsidR="0001253E" w:rsidRPr="0001253E" w:rsidRDefault="0001253E" w:rsidP="00601850">
      <w:pPr>
        <w:spacing w:line="276" w:lineRule="auto"/>
        <w:jc w:val="both"/>
        <w:rPr>
          <w:b/>
          <w:bCs/>
          <w:sz w:val="24"/>
          <w:szCs w:val="24"/>
        </w:rPr>
      </w:pPr>
      <w:r>
        <w:rPr>
          <w:b/>
          <w:bCs/>
          <w:sz w:val="24"/>
          <w:szCs w:val="24"/>
        </w:rPr>
        <w:lastRenderedPageBreak/>
        <w:t>1.2</w:t>
      </w:r>
      <w:r>
        <w:rPr>
          <w:b/>
          <w:bCs/>
          <w:sz w:val="24"/>
          <w:szCs w:val="24"/>
        </w:rPr>
        <w:tab/>
      </w:r>
      <w:r w:rsidRPr="0001253E">
        <w:rPr>
          <w:b/>
          <w:bCs/>
          <w:sz w:val="24"/>
          <w:szCs w:val="24"/>
        </w:rPr>
        <w:t>Benchmark Rate fallback</w:t>
      </w:r>
    </w:p>
    <w:p w14:paraId="2C4B552F" w14:textId="77777777" w:rsidR="0001253E" w:rsidRDefault="0001253E" w:rsidP="00601850">
      <w:pPr>
        <w:spacing w:line="276" w:lineRule="auto"/>
        <w:ind w:left="360"/>
        <w:jc w:val="both"/>
      </w:pPr>
      <w:r>
        <w:t>If:</w:t>
      </w:r>
    </w:p>
    <w:p w14:paraId="610FA89D" w14:textId="75E7C452" w:rsidR="0001253E" w:rsidRDefault="0001253E" w:rsidP="00601850">
      <w:pPr>
        <w:pStyle w:val="ListParagraph"/>
        <w:numPr>
          <w:ilvl w:val="0"/>
          <w:numId w:val="15"/>
        </w:numPr>
        <w:spacing w:before="120" w:line="276" w:lineRule="auto"/>
        <w:contextualSpacing w:val="0"/>
        <w:jc w:val="both"/>
      </w:pPr>
      <w:r>
        <w:t>a Temporary Disruption Trigger has occurred; or</w:t>
      </w:r>
    </w:p>
    <w:p w14:paraId="30C4863F" w14:textId="141685AA" w:rsidR="0001253E" w:rsidRDefault="0001253E" w:rsidP="00601850">
      <w:pPr>
        <w:pStyle w:val="ListParagraph"/>
        <w:numPr>
          <w:ilvl w:val="0"/>
          <w:numId w:val="15"/>
        </w:numPr>
        <w:spacing w:before="120" w:line="276" w:lineRule="auto"/>
        <w:contextualSpacing w:val="0"/>
        <w:jc w:val="both"/>
      </w:pPr>
      <w:r>
        <w:t xml:space="preserve">a Permanent Discontinuation Trigger has occurred, </w:t>
      </w:r>
    </w:p>
    <w:p w14:paraId="7E5EF859" w14:textId="77777777" w:rsidR="0001253E" w:rsidRDefault="0001253E" w:rsidP="00601850">
      <w:pPr>
        <w:spacing w:line="276" w:lineRule="auto"/>
        <w:ind w:left="720"/>
        <w:jc w:val="both"/>
      </w:pPr>
      <w:r>
        <w:t>then the Benchmark Rate for an Interest Period, whilst such Temporary Disruption Trigger is continuing or after a Permanent Discontinuation Trigger has occurred, means (in the following order of application and precedence):</w:t>
      </w:r>
    </w:p>
    <w:p w14:paraId="1C6A69E4" w14:textId="090432AE" w:rsidR="0001253E" w:rsidRDefault="0001253E" w:rsidP="00601850">
      <w:pPr>
        <w:pStyle w:val="ListParagraph"/>
        <w:numPr>
          <w:ilvl w:val="0"/>
          <w:numId w:val="8"/>
        </w:numPr>
        <w:spacing w:before="120" w:line="276" w:lineRule="auto"/>
        <w:ind w:left="1077" w:hanging="357"/>
        <w:contextualSpacing w:val="0"/>
        <w:jc w:val="both"/>
      </w:pPr>
      <w:r>
        <w:t xml:space="preserve">where BBSW Rate is the Applicable Benchmark Rate, if a Temporary Disruption Trigger has occurred with respect to the BBSW Rate, in the following order of precedence: </w:t>
      </w:r>
    </w:p>
    <w:p w14:paraId="468770FB" w14:textId="77777777" w:rsidR="0001253E" w:rsidRDefault="0001253E" w:rsidP="00601850">
      <w:pPr>
        <w:pStyle w:val="ListParagraph"/>
        <w:numPr>
          <w:ilvl w:val="0"/>
          <w:numId w:val="10"/>
        </w:numPr>
        <w:spacing w:before="120" w:line="276" w:lineRule="auto"/>
        <w:ind w:left="1434" w:hanging="357"/>
        <w:contextualSpacing w:val="0"/>
        <w:jc w:val="both"/>
      </w:pPr>
      <w:r>
        <w:t>first, the Administrator Recommended Rate;</w:t>
      </w:r>
    </w:p>
    <w:p w14:paraId="2643E093" w14:textId="77777777" w:rsidR="0001253E" w:rsidRDefault="0001253E" w:rsidP="00601850">
      <w:pPr>
        <w:pStyle w:val="ListParagraph"/>
        <w:numPr>
          <w:ilvl w:val="0"/>
          <w:numId w:val="10"/>
        </w:numPr>
        <w:spacing w:before="120" w:line="276" w:lineRule="auto"/>
        <w:ind w:left="1434" w:hanging="357"/>
        <w:contextualSpacing w:val="0"/>
        <w:jc w:val="both"/>
      </w:pPr>
      <w:r>
        <w:t xml:space="preserve">then the Supervisor Recommended Rate; and </w:t>
      </w:r>
    </w:p>
    <w:p w14:paraId="33526999" w14:textId="6D5663E9" w:rsidR="0001253E" w:rsidRDefault="0001253E" w:rsidP="00601850">
      <w:pPr>
        <w:pStyle w:val="ListParagraph"/>
        <w:numPr>
          <w:ilvl w:val="0"/>
          <w:numId w:val="10"/>
        </w:numPr>
        <w:spacing w:before="120" w:line="276" w:lineRule="auto"/>
        <w:ind w:left="1434" w:hanging="357"/>
        <w:contextualSpacing w:val="0"/>
        <w:jc w:val="both"/>
      </w:pPr>
      <w:r>
        <w:t>lastly, the Final Fallback Rate;</w:t>
      </w:r>
    </w:p>
    <w:p w14:paraId="7BA9D2DE" w14:textId="2B273458" w:rsidR="0001253E" w:rsidRDefault="0001253E" w:rsidP="00601850">
      <w:pPr>
        <w:pStyle w:val="ListParagraph"/>
        <w:numPr>
          <w:ilvl w:val="0"/>
          <w:numId w:val="8"/>
        </w:numPr>
        <w:spacing w:before="120" w:line="276" w:lineRule="auto"/>
        <w:ind w:left="1077" w:hanging="357"/>
        <w:contextualSpacing w:val="0"/>
        <w:jc w:val="both"/>
      </w:pPr>
      <w:r>
        <w:t xml:space="preserve">where AONIA is the Applicable Benchmark Rate or a determination of the AONIA Rate is required for the purposes of paragraph (i) above, if a Temporary Disruption Trigger has occurred with respect to AONIA, the rate for any day for which AONIA is required will be the last provided or published level of AONIA; </w:t>
      </w:r>
    </w:p>
    <w:p w14:paraId="3D0B8902" w14:textId="3ED26587" w:rsidR="0001253E" w:rsidRDefault="001931EA" w:rsidP="00601850">
      <w:pPr>
        <w:pStyle w:val="ListParagraph"/>
        <w:numPr>
          <w:ilvl w:val="0"/>
          <w:numId w:val="8"/>
        </w:numPr>
        <w:spacing w:before="120" w:line="276" w:lineRule="auto"/>
        <w:ind w:left="1077" w:hanging="357"/>
        <w:contextualSpacing w:val="0"/>
        <w:jc w:val="both"/>
      </w:pPr>
      <w:r>
        <w:t xml:space="preserve">where </w:t>
      </w:r>
      <w:r w:rsidR="0001253E">
        <w:t xml:space="preserve">a determination of the RBA Recommended Rate is required for the purposes of paragraph (i) or (ii)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 </w:t>
      </w:r>
    </w:p>
    <w:p w14:paraId="7E93DD07" w14:textId="31484560" w:rsidR="0001253E" w:rsidRDefault="0001253E" w:rsidP="00601850">
      <w:pPr>
        <w:pStyle w:val="ListParagraph"/>
        <w:numPr>
          <w:ilvl w:val="0"/>
          <w:numId w:val="8"/>
        </w:numPr>
        <w:spacing w:before="120" w:line="276" w:lineRule="auto"/>
        <w:ind w:left="1077" w:hanging="357"/>
        <w:contextualSpacing w:val="0"/>
        <w:jc w:val="both"/>
      </w:pPr>
      <w:r>
        <w:t xml:space="preserve">where BBSW Rate is the Applicable Benchmark Rate, if a Permanent Discontinuation Trigger has occurred with respect to the BBSW Rate, the rate for any day for which the BBSW Rate is required on or after the Permanent Fallback Effective Date will be the first rate available in the following order of precedence: </w:t>
      </w:r>
    </w:p>
    <w:p w14:paraId="77D200A2" w14:textId="0008680E" w:rsidR="00276E8F" w:rsidRDefault="0001253E" w:rsidP="00276E8F">
      <w:pPr>
        <w:pStyle w:val="ListParagraph"/>
        <w:numPr>
          <w:ilvl w:val="0"/>
          <w:numId w:val="12"/>
        </w:numPr>
        <w:spacing w:before="120" w:line="276" w:lineRule="auto"/>
        <w:contextualSpacing w:val="0"/>
        <w:jc w:val="both"/>
      </w:pPr>
      <w:r>
        <w:t xml:space="preserve">first, if at the time of the BBSW Rate Permanent Fallback Effective Date, no AONIA Permanent Fallback Effective Date has occurred, the AONIA Rate; </w:t>
      </w:r>
    </w:p>
    <w:p w14:paraId="71B54FEE" w14:textId="7CAD945E" w:rsidR="0001253E" w:rsidRDefault="0001253E" w:rsidP="00601850">
      <w:pPr>
        <w:pStyle w:val="ListParagraph"/>
        <w:numPr>
          <w:ilvl w:val="0"/>
          <w:numId w:val="12"/>
        </w:numPr>
        <w:spacing w:before="120" w:line="276" w:lineRule="auto"/>
        <w:contextualSpacing w:val="0"/>
        <w:jc w:val="both"/>
      </w:pPr>
      <w:r>
        <w:t>then, if at the time of the BBSW Rate Permanent Fallback Effective Date, an AONIA Permanent Fallback Effective Date has occurred, an RBA Recommended Rate has been created but no RBA Recommended</w:t>
      </w:r>
      <w:r w:rsidR="00CC4193">
        <w:t xml:space="preserve"> Rate</w:t>
      </w:r>
      <w:r>
        <w:t xml:space="preserve"> Permanent Fallback Effective Date has occurred, the </w:t>
      </w:r>
      <w:r w:rsidRPr="00C11FA8">
        <w:t xml:space="preserve">RBA Recommended </w:t>
      </w:r>
      <w:r w:rsidR="00276E8F" w:rsidRPr="00C11FA8">
        <w:t xml:space="preserve">Fallback </w:t>
      </w:r>
      <w:r w:rsidRPr="00C11FA8">
        <w:t>Rate;</w:t>
      </w:r>
      <w:r>
        <w:t xml:space="preserve"> and</w:t>
      </w:r>
    </w:p>
    <w:p w14:paraId="53C85618" w14:textId="2F565EF8" w:rsidR="0001253E" w:rsidRDefault="0001253E" w:rsidP="00601850">
      <w:pPr>
        <w:pStyle w:val="ListParagraph"/>
        <w:numPr>
          <w:ilvl w:val="0"/>
          <w:numId w:val="12"/>
        </w:numPr>
        <w:spacing w:before="120" w:line="276" w:lineRule="auto"/>
        <w:contextualSpacing w:val="0"/>
        <w:jc w:val="both"/>
      </w:pPr>
      <w:r>
        <w:t>lastly, if neither paragraph (A) nor paragraph (B) above apply, the Final Fallback Rate;</w:t>
      </w:r>
    </w:p>
    <w:p w14:paraId="479BC1A4" w14:textId="1A0FD84E" w:rsidR="0001253E" w:rsidRDefault="0001253E" w:rsidP="00601850">
      <w:pPr>
        <w:pStyle w:val="ListParagraph"/>
        <w:numPr>
          <w:ilvl w:val="0"/>
          <w:numId w:val="8"/>
        </w:numPr>
        <w:spacing w:before="120" w:line="276" w:lineRule="auto"/>
        <w:ind w:left="1077" w:hanging="357"/>
        <w:contextualSpacing w:val="0"/>
        <w:jc w:val="both"/>
      </w:pPr>
      <w:r>
        <w:t xml:space="preserve">where AONIA is the Applicable Benchmark Rate or a determination of the AONIA Rate is required for the purposes of paragraph (iv)(A) above, if a Permanent Discontinuation Trigger has occurred with respect to AONIA, the rate for any day for which AONIA is </w:t>
      </w:r>
      <w:r>
        <w:lastRenderedPageBreak/>
        <w:t>required on or after the AONIA Permanent Fallback Effective Date will be the first rate available in the following order of precedence:</w:t>
      </w:r>
    </w:p>
    <w:p w14:paraId="3D609223" w14:textId="6CE9F4FC" w:rsidR="0001253E" w:rsidRDefault="0001253E" w:rsidP="00601850">
      <w:pPr>
        <w:pStyle w:val="ListParagraph"/>
        <w:numPr>
          <w:ilvl w:val="0"/>
          <w:numId w:val="13"/>
        </w:numPr>
        <w:spacing w:before="120" w:line="276" w:lineRule="auto"/>
        <w:contextualSpacing w:val="0"/>
        <w:jc w:val="both"/>
      </w:pPr>
      <w:r>
        <w:t>first, if at the time of the AONIA Permanent Fallback Effective Date, an RBA Recommended Rate has been created but no RBA Recommended Rate Permanent Fallback Effective Date has occurred, the RBA Recommended Rate; and</w:t>
      </w:r>
    </w:p>
    <w:p w14:paraId="3CD30F39" w14:textId="0639FADC" w:rsidR="0001253E" w:rsidRDefault="0001253E" w:rsidP="00601850">
      <w:pPr>
        <w:pStyle w:val="ListParagraph"/>
        <w:numPr>
          <w:ilvl w:val="0"/>
          <w:numId w:val="13"/>
        </w:numPr>
        <w:spacing w:before="120" w:line="276" w:lineRule="auto"/>
        <w:ind w:left="1434" w:hanging="357"/>
        <w:contextualSpacing w:val="0"/>
        <w:jc w:val="both"/>
      </w:pPr>
      <w:r>
        <w:t>lastly, if paragraph (A) above does not apply, the Final Fallback Rate; and</w:t>
      </w:r>
    </w:p>
    <w:p w14:paraId="07FBD4A1" w14:textId="52E9B427" w:rsidR="0001253E" w:rsidRDefault="009B263F" w:rsidP="00601850">
      <w:pPr>
        <w:pStyle w:val="ListParagraph"/>
        <w:numPr>
          <w:ilvl w:val="0"/>
          <w:numId w:val="8"/>
        </w:numPr>
        <w:spacing w:before="120" w:line="276" w:lineRule="auto"/>
        <w:ind w:left="1077" w:hanging="357"/>
        <w:contextualSpacing w:val="0"/>
        <w:jc w:val="both"/>
      </w:pPr>
      <w:r w:rsidRPr="009B263F">
        <w:t>where a determination of the RBA Recommended Rate is required for the purposes of paragraph (iv) or (v) above, respectively, if a Permanent Discontinuation Trigger has occurred with respect to the RBA Recommended Rate, the rate for any day for which the RBA Recommended Rate is required on or after that Permanent Fallback Effective Date will be the Final Fallback Rate</w:t>
      </w:r>
      <w:r w:rsidR="0001253E">
        <w:t>.</w:t>
      </w:r>
    </w:p>
    <w:p w14:paraId="6318CC93" w14:textId="5C2C789C" w:rsidR="0001253E" w:rsidRDefault="0001253E" w:rsidP="00601850">
      <w:pPr>
        <w:spacing w:line="276" w:lineRule="auto"/>
        <w:jc w:val="both"/>
      </w:pPr>
      <w:r>
        <w:t xml:space="preserve">When calculating an amount </w:t>
      </w:r>
      <w:r w:rsidR="009B263F">
        <w:t xml:space="preserve">of </w:t>
      </w:r>
      <w:r>
        <w:t>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Benchmark Rate in effect immediately prior to the application of that Final Fallback Rate remained in effect but with necessary adjustments to substitute all references to that Applicable Benchmark Rate with corresponding references to the Final Fallback Rate.</w:t>
      </w:r>
    </w:p>
    <w:p w14:paraId="496D040F" w14:textId="77777777" w:rsidR="0001253E" w:rsidRPr="001E026C" w:rsidRDefault="0001253E" w:rsidP="00601850">
      <w:pPr>
        <w:spacing w:line="276" w:lineRule="auto"/>
        <w:jc w:val="both"/>
        <w:rPr>
          <w:b/>
          <w:bCs/>
          <w:sz w:val="24"/>
          <w:szCs w:val="24"/>
        </w:rPr>
      </w:pPr>
      <w:r w:rsidRPr="001E026C">
        <w:rPr>
          <w:b/>
          <w:bCs/>
          <w:sz w:val="24"/>
          <w:szCs w:val="24"/>
        </w:rPr>
        <w:t>Definitions</w:t>
      </w:r>
    </w:p>
    <w:p w14:paraId="7641996C" w14:textId="1837657B" w:rsidR="0001253E" w:rsidRDefault="0001253E" w:rsidP="00601850">
      <w:pPr>
        <w:spacing w:line="276" w:lineRule="auto"/>
        <w:jc w:val="both"/>
      </w:pPr>
      <w:r>
        <w:t>For the purposes of this Condition [1]:</w:t>
      </w:r>
      <w:r w:rsidR="001B7B0A">
        <w:rPr>
          <w:rStyle w:val="FootnoteReference"/>
        </w:rPr>
        <w:footnoteReference w:id="2"/>
      </w:r>
      <w:r>
        <w:t xml:space="preserve">  </w:t>
      </w:r>
    </w:p>
    <w:p w14:paraId="4DA7CC9A" w14:textId="77777777" w:rsidR="0001253E" w:rsidRDefault="0001253E" w:rsidP="00601850">
      <w:pPr>
        <w:spacing w:line="276" w:lineRule="auto"/>
        <w:jc w:val="both"/>
      </w:pPr>
      <w:r w:rsidRPr="001E026C">
        <w:rPr>
          <w:b/>
          <w:bCs/>
        </w:rPr>
        <w:t>Adjustment Spread</w:t>
      </w:r>
      <w:r>
        <w:t xml:space="preserve"> means the adjustment spread as at the Adjustment Spread Fixing Date (which may be a positive or negative value or zero and determined pursuant to a formula or methodology) that is:</w:t>
      </w:r>
    </w:p>
    <w:p w14:paraId="39612043" w14:textId="7E879A70" w:rsidR="0001253E" w:rsidRDefault="0001253E" w:rsidP="00601850">
      <w:pPr>
        <w:pStyle w:val="ListParagraph"/>
        <w:numPr>
          <w:ilvl w:val="0"/>
          <w:numId w:val="14"/>
        </w:numPr>
        <w:spacing w:before="120" w:line="276" w:lineRule="auto"/>
        <w:contextualSpacing w:val="0"/>
        <w:jc w:val="both"/>
      </w:pPr>
      <w:r>
        <w:t>determined as the median of the historical differences between the BBSW Rate and AONIA over a five calendar year period prior to the Adjustment Spread Fixing Date using practices based on those used for the determination of the Bloomberg Adjustment Spread as at [1 December 2022], provided that for so long as the Bloomberg Adjustment Spread is published and determined based on the five year median of the historical differences between the BBSW Rate and AONIA, that adjustment spread will be deemed to be acceptable for the purposes of this paragraph (a); or</w:t>
      </w:r>
    </w:p>
    <w:p w14:paraId="5E1F8EE4" w14:textId="6FED529F" w:rsidR="0001253E" w:rsidRDefault="0001253E" w:rsidP="00601850">
      <w:pPr>
        <w:pStyle w:val="ListParagraph"/>
        <w:numPr>
          <w:ilvl w:val="0"/>
          <w:numId w:val="14"/>
        </w:numPr>
        <w:spacing w:before="120" w:line="276" w:lineRule="auto"/>
        <w:contextualSpacing w:val="0"/>
        <w:jc w:val="both"/>
      </w:pPr>
      <w:r>
        <w:t>if no such median can be determined in accordance with paragraph (a), set using the method for calculating or determining such adjustment spread determined by the Calculation Agent (after consultation with the Issuer where practicable) to be appropriate;</w:t>
      </w:r>
    </w:p>
    <w:p w14:paraId="7BB9B7E3" w14:textId="77777777" w:rsidR="0001253E" w:rsidRDefault="0001253E" w:rsidP="00601850">
      <w:pPr>
        <w:spacing w:line="276" w:lineRule="auto"/>
        <w:jc w:val="both"/>
      </w:pPr>
      <w:r w:rsidRPr="00530732">
        <w:rPr>
          <w:b/>
          <w:bCs/>
        </w:rPr>
        <w:t>Adjustment Spread Fixing Date</w:t>
      </w:r>
      <w:r>
        <w:t xml:space="preserve"> means the first date on which a Permanent Discontinuation Trigger occurs with respect to the BBSW Rate;</w:t>
      </w:r>
    </w:p>
    <w:p w14:paraId="5B8B8B74" w14:textId="77777777" w:rsidR="001B7B0A" w:rsidRDefault="001B7B0A">
      <w:r>
        <w:br w:type="page"/>
      </w:r>
    </w:p>
    <w:p w14:paraId="1ED0715C" w14:textId="3B843FAC" w:rsidR="0001253E" w:rsidRDefault="0001253E" w:rsidP="00601850">
      <w:pPr>
        <w:spacing w:line="276" w:lineRule="auto"/>
        <w:jc w:val="both"/>
      </w:pPr>
      <w:r w:rsidRPr="001B7B0A">
        <w:rPr>
          <w:b/>
          <w:bCs/>
        </w:rPr>
        <w:lastRenderedPageBreak/>
        <w:t>Administrator</w:t>
      </w:r>
      <w:r>
        <w:t xml:space="preserve"> means:</w:t>
      </w:r>
    </w:p>
    <w:p w14:paraId="3D998D7F" w14:textId="267FC472" w:rsidR="0001253E" w:rsidRDefault="0001253E" w:rsidP="00601850">
      <w:pPr>
        <w:pStyle w:val="ListParagraph"/>
        <w:numPr>
          <w:ilvl w:val="0"/>
          <w:numId w:val="16"/>
        </w:numPr>
        <w:spacing w:before="120" w:line="276" w:lineRule="auto"/>
        <w:contextualSpacing w:val="0"/>
        <w:jc w:val="both"/>
      </w:pPr>
      <w:r>
        <w:t>in respect of the BBSW Rate, ASX Benchmarks Limited (ABN 38 616 075 417);</w:t>
      </w:r>
    </w:p>
    <w:p w14:paraId="46D60805" w14:textId="6BE1AD61" w:rsidR="0001253E" w:rsidRDefault="0001253E" w:rsidP="00601850">
      <w:pPr>
        <w:pStyle w:val="ListParagraph"/>
        <w:numPr>
          <w:ilvl w:val="0"/>
          <w:numId w:val="16"/>
        </w:numPr>
        <w:spacing w:before="120" w:line="276" w:lineRule="auto"/>
        <w:contextualSpacing w:val="0"/>
        <w:jc w:val="both"/>
      </w:pPr>
      <w:r>
        <w:t>in respect of AONIA, the Reserve Bank of Australia; and</w:t>
      </w:r>
    </w:p>
    <w:p w14:paraId="1BFE7B37" w14:textId="0DC4ED3E" w:rsidR="0001253E" w:rsidRDefault="0001253E" w:rsidP="00601850">
      <w:pPr>
        <w:pStyle w:val="ListParagraph"/>
        <w:numPr>
          <w:ilvl w:val="0"/>
          <w:numId w:val="16"/>
        </w:numPr>
        <w:spacing w:before="120" w:line="276" w:lineRule="auto"/>
        <w:contextualSpacing w:val="0"/>
        <w:jc w:val="both"/>
      </w:pPr>
      <w:r>
        <w:t>in respect of any other Applicable Benchmark Rate, the administrator for that rate or benchmark or, if there is no administrator, the provider of that rate or benchmark,</w:t>
      </w:r>
    </w:p>
    <w:p w14:paraId="0CC9A6D4" w14:textId="77777777" w:rsidR="0001253E" w:rsidRDefault="0001253E" w:rsidP="00601850">
      <w:pPr>
        <w:spacing w:line="276" w:lineRule="auto"/>
        <w:jc w:val="both"/>
      </w:pPr>
      <w:r>
        <w:t>and, in each case, any successor administrator or, as applicable, any successor administrator or provider;</w:t>
      </w:r>
    </w:p>
    <w:p w14:paraId="2F11CF2F" w14:textId="77777777" w:rsidR="0001253E" w:rsidRDefault="0001253E" w:rsidP="00601850">
      <w:pPr>
        <w:spacing w:line="276" w:lineRule="auto"/>
        <w:jc w:val="both"/>
      </w:pPr>
      <w:r w:rsidRPr="00530732">
        <w:rPr>
          <w:b/>
          <w:bCs/>
        </w:rPr>
        <w:t>Administrator Recommended Rate</w:t>
      </w:r>
      <w:r>
        <w:t xml:space="preserve"> means the rate formally recommended for use as the temporary replacement for the BBSW Rate by the Administrator of the BBSW Rate;</w:t>
      </w:r>
    </w:p>
    <w:p w14:paraId="59461271" w14:textId="77777777" w:rsidR="0001253E" w:rsidRDefault="0001253E" w:rsidP="00601850">
      <w:pPr>
        <w:spacing w:line="276" w:lineRule="auto"/>
        <w:jc w:val="both"/>
      </w:pPr>
      <w:r w:rsidRPr="00530732">
        <w:rPr>
          <w:b/>
          <w:bCs/>
        </w:rPr>
        <w:t>AONIA</w:t>
      </w:r>
      <w:r>
        <w:t xml:space="preserve"> mean the Australian dollar interbank overnight cash rate (known as AONIA);</w:t>
      </w:r>
    </w:p>
    <w:p w14:paraId="703E671E" w14:textId="77777777" w:rsidR="0001253E" w:rsidRDefault="0001253E" w:rsidP="00601850">
      <w:pPr>
        <w:spacing w:line="276" w:lineRule="auto"/>
        <w:jc w:val="both"/>
      </w:pPr>
      <w:r w:rsidRPr="00530732">
        <w:rPr>
          <w:b/>
          <w:bCs/>
        </w:rPr>
        <w:t>AONIA Observation Period</w:t>
      </w:r>
      <w:r>
        <w:t xml:space="preserve"> means the period from (and including) the date falling five Business Days prior to the first day of the relevant Interest Period (and the first Interest Period shall begin on and include the Interest Commencement Date) and ending on (but excluding) the date falling five Business Days prior to end of such Interest Period (or the date falling five Business Days prior to such earlier date, if any, on which the Notes become due and payable);</w:t>
      </w:r>
    </w:p>
    <w:p w14:paraId="2506E395" w14:textId="77777777" w:rsidR="0001253E" w:rsidRDefault="0001253E" w:rsidP="00601850">
      <w:pPr>
        <w:spacing w:line="276" w:lineRule="auto"/>
        <w:jc w:val="both"/>
      </w:pPr>
      <w:r w:rsidRPr="00530732">
        <w:rPr>
          <w:b/>
          <w:bCs/>
        </w:rPr>
        <w:t>AONIA Rate</w:t>
      </w:r>
      <w:r>
        <w:t xml:space="preserve"> means, for an Interest Period and in respect of an Interest Determination Date, the rate determined by the Calculation Agent to be Compounded Daily AONIA for that Interest Period and Interest Determination Date plus the Adjustment Spread;</w:t>
      </w:r>
    </w:p>
    <w:p w14:paraId="1455A45F" w14:textId="77777777" w:rsidR="0001253E" w:rsidRDefault="0001253E" w:rsidP="00601850">
      <w:pPr>
        <w:spacing w:line="276" w:lineRule="auto"/>
        <w:jc w:val="both"/>
      </w:pPr>
      <w:r w:rsidRPr="00530732">
        <w:rPr>
          <w:b/>
          <w:bCs/>
        </w:rPr>
        <w:t>Applicable Benchmark Rate</w:t>
      </w:r>
      <w:r>
        <w:t xml:space="preserve"> means the Benchmark Rate specified in the relevant Pricing Supplement and, if a Permanent Fallback Effective Date has occurred with respect to the BBSW Rate, AONIA or the RBA Recommended Rate, then the rate determined in accordance with </w:t>
      </w:r>
      <w:bookmarkStart w:id="1" w:name="_Hlk117591122"/>
      <w:r>
        <w:t>Condition [1.2] (“Benchmark Rate fallback”</w:t>
      </w:r>
      <w:bookmarkEnd w:id="1"/>
      <w:r>
        <w:t>);</w:t>
      </w:r>
    </w:p>
    <w:p w14:paraId="348F90CD" w14:textId="77777777" w:rsidR="0001253E" w:rsidRDefault="0001253E" w:rsidP="00601850">
      <w:pPr>
        <w:spacing w:line="276" w:lineRule="auto"/>
        <w:jc w:val="both"/>
      </w:pPr>
      <w:r w:rsidRPr="00530732">
        <w:rPr>
          <w:b/>
          <w:bCs/>
        </w:rPr>
        <w:t>BBSW Rate</w:t>
      </w:r>
      <w:r>
        <w:t xml:space="preserve"> means, for an Interest Period, the rate for prime bank eligible securities having a tenor closest to the Interest Period which is designated as the “AVG MID” on the ‘Refinitiv Screen ASX29 Page’ or the ‘Bloomberg Screen BBSW Page’ (or any designation which replaces that designation on the applicable page, or any replacement page) at the Publication Time on the first Business Day of that Interest Period;</w:t>
      </w:r>
    </w:p>
    <w:p w14:paraId="02B2DC79" w14:textId="77777777" w:rsidR="0001253E" w:rsidRDefault="0001253E" w:rsidP="00601850">
      <w:pPr>
        <w:spacing w:line="276" w:lineRule="auto"/>
        <w:jc w:val="both"/>
      </w:pPr>
      <w:r w:rsidRPr="00530732">
        <w:rPr>
          <w:b/>
          <w:bCs/>
        </w:rPr>
        <w:t>Benchmark Rat</w:t>
      </w:r>
      <w:r>
        <w:t>e means, for an Interest Period, either the BBSW Rate or the AONIA Rate as specified in the relevant Pricing Supplement;</w:t>
      </w:r>
    </w:p>
    <w:p w14:paraId="22C0B2D3" w14:textId="77777777" w:rsidR="0001253E" w:rsidRDefault="0001253E" w:rsidP="00601850">
      <w:pPr>
        <w:spacing w:line="276" w:lineRule="auto"/>
        <w:jc w:val="both"/>
      </w:pPr>
      <w:r w:rsidRPr="00B52B59">
        <w:rPr>
          <w:b/>
          <w:bCs/>
        </w:rPr>
        <w:t>Bloomberg Adjustment Spread</w:t>
      </w:r>
      <w:r>
        <w:t xml:space="preserve"> means the term adjusted AONIA spread relating to the BBSW Rate provided by Bloomberg Index Services Limited (or a successor provider as approved and/or appointed by ISDA from time to time as the provider of term adjusted AONIA and the spread) (“BISL”) on the Fallback Rate (AONIA) Screen (or by other means), or provided to, and published by, authorised distributors where Fallback Rate (AONIA) Screen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55990A37" w14:textId="77777777" w:rsidR="0001253E" w:rsidRDefault="0001253E" w:rsidP="00601850">
      <w:pPr>
        <w:spacing w:line="276" w:lineRule="auto"/>
        <w:jc w:val="both"/>
      </w:pPr>
      <w:r w:rsidRPr="00530732">
        <w:rPr>
          <w:b/>
          <w:bCs/>
        </w:rPr>
        <w:t>Business Day</w:t>
      </w:r>
      <w:r>
        <w:t xml:space="preserve"> means any day on which commercial banks are open for general business in Sydney;</w:t>
      </w:r>
    </w:p>
    <w:p w14:paraId="6B29CE59" w14:textId="145A943A" w:rsidR="0001253E" w:rsidRDefault="0001253E" w:rsidP="00601850">
      <w:pPr>
        <w:spacing w:line="276" w:lineRule="auto"/>
        <w:jc w:val="both"/>
      </w:pPr>
      <w:r w:rsidRPr="00B52B59">
        <w:rPr>
          <w:b/>
          <w:bCs/>
        </w:rPr>
        <w:lastRenderedPageBreak/>
        <w:t>Compounded Daily AONIA</w:t>
      </w:r>
      <w:r>
        <w:t xml:space="preserve"> means, with respect to an Interest Period, the rate of return of a daily compound interest investment during the AONIA Observation Period corresponding to such Interest Period (with AONIA as the reference rate for the calculation of interest) as calculated by the Calculation Agent on the fifth Business Day prior to the last day of each Interest Period, as follows:</w:t>
      </w:r>
    </w:p>
    <w:p w14:paraId="5EA285E9" w14:textId="26B1201C" w:rsidR="003F78CB" w:rsidRPr="006D466E" w:rsidRDefault="008F4992" w:rsidP="003F78CB">
      <w:pPr>
        <w:tabs>
          <w:tab w:val="left" w:pos="1134"/>
        </w:tabs>
        <w:jc w:val="both"/>
        <w:rPr>
          <w:iCs/>
        </w:rPr>
      </w:pPr>
      <m:oMathPara>
        <m:oMath>
          <m:d>
            <m:dPr>
              <m:begChr m:val="["/>
              <m:endChr m:val="]"/>
              <m:ctrlPr>
                <w:rPr>
                  <w:rFonts w:ascii="Cambria Math" w:hAnsi="Cambria Math" w:cs="Arial"/>
                  <w:i/>
                  <w:iCs/>
                </w:rPr>
              </m:ctrlPr>
            </m:dPr>
            <m:e>
              <m:nary>
                <m:naryPr>
                  <m:chr m:val="∏"/>
                  <m:limLoc m:val="undOvr"/>
                  <m:ctrlPr>
                    <w:rPr>
                      <w:rFonts w:ascii="Cambria Math" w:hAnsi="Cambria Math" w:cs="Arial"/>
                      <w:i/>
                      <w:iCs/>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m:rPr>
                      <m:sty m:val="p"/>
                    </m:rPr>
                    <w:rPr>
                      <w:rFonts w:ascii="Cambria Math" w:hAnsi="Cambria Math" w:cs="Arial"/>
                    </w:rPr>
                    <m:t xml:space="preserve"> </m:t>
                  </m:r>
                </m:sup>
                <m:e>
                  <m:d>
                    <m:dPr>
                      <m:ctrlPr>
                        <w:rPr>
                          <w:rFonts w:ascii="Cambria Math" w:hAnsi="Cambria Math" w:cs="Arial"/>
                          <w:i/>
                          <w:iCs/>
                        </w:rPr>
                      </m:ctrlPr>
                    </m:dPr>
                    <m:e>
                      <m:r>
                        <w:rPr>
                          <w:rFonts w:ascii="Cambria Math" w:hAnsi="Cambria Math" w:cs="Arial"/>
                        </w:rPr>
                        <m:t>1+</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AONIA</m:t>
                              </m:r>
                            </m:e>
                            <m:sub>
                              <m:r>
                                <w:rPr>
                                  <w:rFonts w:ascii="Cambria Math" w:hAnsi="Cambria Math" w:cs="Arial"/>
                                </w:rPr>
                                <m:t>i-5 SBD</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i</m:t>
                              </m:r>
                            </m:sub>
                          </m:sSub>
                        </m:num>
                        <m:den>
                          <m:r>
                            <w:rPr>
                              <w:rFonts w:ascii="Cambria Math" w:hAnsi="Cambria Math" w:cs="Arial"/>
                            </w:rPr>
                            <m:t>365</m:t>
                          </m:r>
                        </m:den>
                      </m:f>
                    </m:e>
                  </m:d>
                  <m:r>
                    <w:rPr>
                      <w:rFonts w:ascii="Cambria Math" w:hAnsi="Cambria Math" w:cs="Arial"/>
                    </w:rPr>
                    <m:t>-1</m:t>
                  </m:r>
                </m:e>
              </m:nary>
            </m:e>
          </m:d>
          <m:r>
            <w:rPr>
              <w:rFonts w:ascii="Cambria Math" w:hAnsi="Cambria Math" w:cs="Arial"/>
            </w:rPr>
            <m:t>×</m:t>
          </m:r>
          <m:f>
            <m:fPr>
              <m:ctrlPr>
                <w:rPr>
                  <w:rFonts w:ascii="Cambria Math" w:hAnsi="Cambria Math" w:cs="Arial"/>
                  <w:i/>
                  <w:iCs/>
                </w:rPr>
              </m:ctrlPr>
            </m:fPr>
            <m:num>
              <m:r>
                <w:rPr>
                  <w:rFonts w:ascii="Cambria Math" w:hAnsi="Cambria Math" w:cs="Arial"/>
                </w:rPr>
                <m:t>365</m:t>
              </m:r>
            </m:num>
            <m:den>
              <m:r>
                <w:rPr>
                  <w:rFonts w:ascii="Cambria Math" w:hAnsi="Cambria Math" w:cs="Arial"/>
                </w:rPr>
                <m:t>d</m:t>
              </m:r>
            </m:den>
          </m:f>
        </m:oMath>
      </m:oMathPara>
    </w:p>
    <w:p w14:paraId="0CD2D2CD" w14:textId="77777777" w:rsidR="0001253E" w:rsidRPr="003F78CB" w:rsidRDefault="0001253E" w:rsidP="0007265B">
      <w:pPr>
        <w:spacing w:line="276" w:lineRule="auto"/>
        <w:ind w:left="720"/>
        <w:jc w:val="both"/>
      </w:pPr>
      <w:r w:rsidRPr="003F78CB">
        <w:tab/>
        <w:t>where:</w:t>
      </w:r>
    </w:p>
    <w:p w14:paraId="0EEDC443" w14:textId="23E70C49" w:rsidR="0001253E" w:rsidRPr="003F78CB" w:rsidRDefault="008F4992" w:rsidP="0007265B">
      <w:pPr>
        <w:spacing w:line="276" w:lineRule="auto"/>
        <w:ind w:left="1440"/>
        <w:jc w:val="both"/>
      </w:pPr>
      <m:oMath>
        <m:sSub>
          <m:sSubPr>
            <m:ctrlPr>
              <w:rPr>
                <w:rFonts w:ascii="Cambria Math" w:hAnsi="Cambria Math" w:cs="Arial"/>
                <w:b/>
                <w:i/>
                <w:iCs/>
                <w:sz w:val="20"/>
              </w:rPr>
            </m:ctrlPr>
          </m:sSubPr>
          <m:e>
            <m:r>
              <m:rPr>
                <m:sty m:val="bi"/>
              </m:rPr>
              <w:rPr>
                <w:rFonts w:ascii="Cambria Math" w:hAnsi="Cambria Math" w:cs="Arial"/>
                <w:sz w:val="20"/>
              </w:rPr>
              <m:t>AONIA</m:t>
            </m:r>
          </m:e>
          <m:sub>
            <m:r>
              <m:rPr>
                <m:sty m:val="bi"/>
              </m:rPr>
              <w:rPr>
                <w:rFonts w:ascii="Cambria Math" w:hAnsi="Cambria Math" w:cs="Arial"/>
                <w:sz w:val="20"/>
              </w:rPr>
              <m:t>i-5</m:t>
            </m:r>
            <m:r>
              <m:rPr>
                <m:sty m:val="bi"/>
              </m:rPr>
              <w:rPr>
                <w:rFonts w:ascii="Cambria Math" w:hAnsi="Cambria Math" w:cs="Arial"/>
                <w:sz w:val="20"/>
              </w:rPr>
              <m:t>SBD</m:t>
            </m:r>
          </m:sub>
        </m:sSub>
      </m:oMath>
      <w:r w:rsidR="0001253E" w:rsidRPr="003F78CB">
        <w:t xml:space="preserve"> means the per annum rate expressed as a decimal which is the level of AONIA provided by the Administrator and published as of the Publication Time for the Business Day falling five</w:t>
      </w:r>
      <w:r w:rsidR="001B7B0A">
        <w:rPr>
          <w:rStyle w:val="FootnoteReference"/>
        </w:rPr>
        <w:footnoteReference w:id="3"/>
      </w:r>
      <w:r w:rsidR="0001253E" w:rsidRPr="003F78CB">
        <w:t xml:space="preserve"> Business Days prior to such Business Day “</w:t>
      </w:r>
      <m:oMath>
        <m:r>
          <w:rPr>
            <w:rFonts w:ascii="Cambria Math" w:hAnsi="Cambria Math"/>
          </w:rPr>
          <m:t>i</m:t>
        </m:r>
      </m:oMath>
      <w:r w:rsidR="0001253E" w:rsidRPr="003F78CB">
        <w:t>";</w:t>
      </w:r>
    </w:p>
    <w:p w14:paraId="528F043F" w14:textId="6D81041D" w:rsidR="0001253E" w:rsidRPr="003F78CB" w:rsidRDefault="003F78CB" w:rsidP="0007265B">
      <w:pPr>
        <w:spacing w:line="276" w:lineRule="auto"/>
        <w:ind w:left="1440"/>
        <w:jc w:val="both"/>
      </w:pPr>
      <m:oMath>
        <m:r>
          <m:rPr>
            <m:sty m:val="bi"/>
          </m:rPr>
          <w:rPr>
            <w:rFonts w:ascii="Cambria Math" w:hAnsi="Cambria Math" w:cs="Arial"/>
            <w:sz w:val="20"/>
            <w:lang w:val="en-GB"/>
          </w:rPr>
          <m:t>d</m:t>
        </m:r>
      </m:oMath>
      <w:r w:rsidR="0001253E" w:rsidRPr="003F78CB">
        <w:t xml:space="preserve"> is the number of calendar days in the relevant Interest Period;</w:t>
      </w:r>
    </w:p>
    <w:p w14:paraId="53A2D0C8" w14:textId="71620EEA" w:rsidR="0001253E" w:rsidRPr="003F78CB" w:rsidRDefault="008F4992" w:rsidP="0007265B">
      <w:pPr>
        <w:spacing w:line="276" w:lineRule="auto"/>
        <w:ind w:left="1440"/>
        <w:jc w:val="both"/>
      </w:pPr>
      <m:oMath>
        <m:sSub>
          <m:sSubPr>
            <m:ctrlPr>
              <w:rPr>
                <w:rFonts w:ascii="Cambria Math" w:hAnsi="Cambria Math" w:cs="Arial"/>
                <w:b/>
                <w:bCs/>
                <w:sz w:val="20"/>
                <w:lang w:val="en-GB"/>
              </w:rPr>
            </m:ctrlPr>
          </m:sSubPr>
          <m:e>
            <m:r>
              <m:rPr>
                <m:sty m:val="bi"/>
              </m:rPr>
              <w:rPr>
                <w:rFonts w:ascii="Cambria Math" w:hAnsi="Cambria Math" w:cs="Arial"/>
                <w:sz w:val="20"/>
                <w:lang w:val="en-GB"/>
              </w:rPr>
              <m:t>d</m:t>
            </m:r>
          </m:e>
          <m:sub>
            <m:r>
              <m:rPr>
                <m:sty m:val="b"/>
              </m:rPr>
              <w:rPr>
                <w:rFonts w:ascii="Cambria Math" w:hAnsi="Cambria Math" w:cs="Arial"/>
                <w:sz w:val="20"/>
                <w:lang w:val="en-GB"/>
              </w:rPr>
              <m:t>0</m:t>
            </m:r>
          </m:sub>
        </m:sSub>
        <m:r>
          <m:rPr>
            <m:sty m:val="b"/>
          </m:rPr>
          <w:rPr>
            <w:rFonts w:ascii="Cambria Math" w:hAnsi="Cambria Math" w:cs="Arial"/>
            <w:sz w:val="20"/>
            <w:lang w:val="en-GB"/>
          </w:rPr>
          <m:t xml:space="preserve"> </m:t>
        </m:r>
      </m:oMath>
      <w:r w:rsidR="0001253E" w:rsidRPr="003F78CB">
        <w:t xml:space="preserve"> is the number of Business Days in the relevant Interest Period;</w:t>
      </w:r>
    </w:p>
    <w:p w14:paraId="28307814" w14:textId="6BF9164C" w:rsidR="0001253E" w:rsidRPr="003F78CB" w:rsidRDefault="003F78CB" w:rsidP="0007265B">
      <w:pPr>
        <w:spacing w:line="276" w:lineRule="auto"/>
        <w:ind w:left="1440"/>
        <w:jc w:val="both"/>
      </w:pPr>
      <m:oMath>
        <m:r>
          <m:rPr>
            <m:sty m:val="bi"/>
          </m:rPr>
          <w:rPr>
            <w:rFonts w:ascii="Cambria Math" w:hAnsi="Cambria Math" w:cs="Arial"/>
            <w:sz w:val="20"/>
            <w:lang w:val="en-GB"/>
          </w:rPr>
          <m:t>i</m:t>
        </m:r>
      </m:oMath>
      <w:r w:rsidR="0001253E" w:rsidRPr="003F78CB">
        <w:t xml:space="preserve"> is a series of whole numbers from 1 to d_0, each representing the relevant Business Day in chronological order from (and including) the first Business Day in the relevant Interest Period to (and including) the last Business Day in such Interest Period;</w:t>
      </w:r>
    </w:p>
    <w:p w14:paraId="667B4E90" w14:textId="49F99AA0" w:rsidR="0001253E" w:rsidRPr="003F78CB" w:rsidRDefault="003F78CB" w:rsidP="0007265B">
      <w:pPr>
        <w:spacing w:line="276" w:lineRule="auto"/>
        <w:ind w:left="1440"/>
        <w:jc w:val="both"/>
      </w:pPr>
      <w:r w:rsidRPr="003F78CB">
        <w:t xml:space="preserve"> </w:t>
      </w:r>
      <m:oMath>
        <m:sSub>
          <m:sSubPr>
            <m:ctrlPr>
              <w:rPr>
                <w:rFonts w:ascii="Cambria Math" w:hAnsi="Cambria Math" w:cs="Arial"/>
                <w:b/>
                <w:bCs/>
                <w:sz w:val="20"/>
                <w:lang w:val="en-GB"/>
              </w:rPr>
            </m:ctrlPr>
          </m:sSubPr>
          <m:e>
            <m:r>
              <m:rPr>
                <m:sty m:val="bi"/>
              </m:rPr>
              <w:rPr>
                <w:rFonts w:ascii="Cambria Math" w:hAnsi="Cambria Math" w:cs="Arial"/>
                <w:sz w:val="20"/>
                <w:lang w:val="en-GB"/>
              </w:rPr>
              <m:t>n</m:t>
            </m:r>
          </m:e>
          <m:sub>
            <m:r>
              <m:rPr>
                <m:sty m:val="bi"/>
              </m:rPr>
              <w:rPr>
                <w:rFonts w:ascii="Cambria Math" w:hAnsi="Cambria Math" w:cs="Arial"/>
                <w:sz w:val="20"/>
                <w:lang w:val="en-GB"/>
              </w:rPr>
              <m:t>i</m:t>
            </m:r>
          </m:sub>
        </m:sSub>
      </m:oMath>
      <w:r w:rsidR="0001253E" w:rsidRPr="003F78CB">
        <w:t>for any Business Day “</w:t>
      </w:r>
      <w:r w:rsidR="0001253E" w:rsidRPr="0083322B">
        <w:rPr>
          <w:rFonts w:ascii="Times New Roman" w:hAnsi="Times New Roman" w:cs="Times New Roman"/>
          <w:i/>
          <w:iCs/>
        </w:rPr>
        <w:t>i</w:t>
      </w:r>
      <w:r w:rsidR="0001253E" w:rsidRPr="003F78CB">
        <w:t>”, means the number of calendar days from (and including) such Business Day “</w:t>
      </w:r>
      <w:r w:rsidR="0001253E" w:rsidRPr="0083322B">
        <w:rPr>
          <w:i/>
          <w:iCs/>
        </w:rPr>
        <w:t>i</w:t>
      </w:r>
      <w:r w:rsidR="0001253E" w:rsidRPr="003F78CB">
        <w:t>” up to (but excluding) the following Business Day; and</w:t>
      </w:r>
    </w:p>
    <w:p w14:paraId="2381C61A" w14:textId="5AF92AAD" w:rsidR="0001253E" w:rsidRDefault="003F78CB" w:rsidP="0007265B">
      <w:pPr>
        <w:spacing w:line="276" w:lineRule="auto"/>
        <w:ind w:left="1440"/>
        <w:jc w:val="both"/>
      </w:pPr>
      <m:oMath>
        <m:r>
          <m:rPr>
            <m:sty m:val="bi"/>
          </m:rPr>
          <w:rPr>
            <w:rFonts w:ascii="Cambria Math" w:hAnsi="Cambria Math"/>
          </w:rPr>
          <m:t>SBD</m:t>
        </m:r>
      </m:oMath>
      <w:r w:rsidR="0001253E" w:rsidRPr="003F78CB">
        <w:t xml:space="preserve"> means any day on which commercial banks are open for general business in Sydney.</w:t>
      </w:r>
    </w:p>
    <w:p w14:paraId="53C81BA7" w14:textId="77777777" w:rsidR="0001253E" w:rsidRDefault="0001253E" w:rsidP="0007265B">
      <w:pPr>
        <w:spacing w:line="276" w:lineRule="auto"/>
        <w:jc w:val="both"/>
      </w:pPr>
      <w:r>
        <w:t>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period;</w:t>
      </w:r>
    </w:p>
    <w:p w14:paraId="3ED9ADA2" w14:textId="361A8767" w:rsidR="0001253E" w:rsidRDefault="0001253E" w:rsidP="00601850">
      <w:pPr>
        <w:spacing w:line="276" w:lineRule="auto"/>
        <w:jc w:val="both"/>
      </w:pPr>
      <w:r w:rsidRPr="00530732">
        <w:rPr>
          <w:b/>
          <w:bCs/>
        </w:rPr>
        <w:t>Fallback Rate</w:t>
      </w:r>
      <w:r>
        <w:t xml:space="preserve"> means, </w:t>
      </w:r>
      <w:r w:rsidR="009B263F">
        <w:rPr>
          <w:rFonts w:eastAsia="Times New Roman" w:cs="Arial"/>
          <w:lang w:eastAsia="en-AU"/>
        </w:rPr>
        <w:t>where a Permanent Discontinuation Trigger for an Applicable Benchmark Rate has occurred, the rate that applies to replace that Applicable Benchmark Rate in accordance with Condition [1.2] (“Benchmark Rate fallback”)</w:t>
      </w:r>
      <w:r>
        <w:t>;</w:t>
      </w:r>
    </w:p>
    <w:p w14:paraId="3FE70322" w14:textId="77777777" w:rsidR="0001253E" w:rsidRDefault="0001253E" w:rsidP="00601850">
      <w:pPr>
        <w:spacing w:line="276" w:lineRule="auto"/>
        <w:jc w:val="both"/>
      </w:pPr>
      <w:r w:rsidRPr="00530732">
        <w:rPr>
          <w:b/>
          <w:bCs/>
        </w:rPr>
        <w:t>Final Fallback Rate</w:t>
      </w:r>
      <w:r>
        <w:t xml:space="preserve"> means, in respect of an Applicable Benchmark Rate, the rate:</w:t>
      </w:r>
    </w:p>
    <w:p w14:paraId="1C6FFCAE" w14:textId="71E708F8" w:rsidR="0001253E" w:rsidRDefault="0001253E" w:rsidP="00601850">
      <w:pPr>
        <w:pStyle w:val="ListParagraph"/>
        <w:numPr>
          <w:ilvl w:val="0"/>
          <w:numId w:val="17"/>
        </w:numPr>
        <w:spacing w:before="120" w:line="276" w:lineRule="auto"/>
        <w:contextualSpacing w:val="0"/>
        <w:jc w:val="both"/>
      </w:pPr>
      <w:r>
        <w:t xml:space="preserve">determined by the Calculation Agent as a commercially reasonable alternative for the Applicable Benchmark Rate taking into account all available information that, in good faith, it considers relevant, provided that any rate (inclusive of any spreads or adjustments) implemented by central counterparties and / or futures exchanges with representative trade volumes in derivatives or futures referencing the Applicable Benchmark Rate will be deemed to be acceptable for the purposes of this paragraph (a), together with </w:t>
      </w:r>
      <w:r w:rsidR="009B263F">
        <w:t xml:space="preserve">(without double counting) </w:t>
      </w:r>
      <w:r>
        <w:t xml:space="preserve">such adjustment spread (which may be a positive or negative value or zero) that is customarily applied to the relevant successor rate or alternative rate (as the case may be) in </w:t>
      </w:r>
      <w:r>
        <w:lastRenderedPageBreak/>
        <w:t>international debt capital markets transactions to produce an industry-accepted replacement rate for Benchmark Rate-linked floating rate notes at such time (together with such other adjustments to the Business Day Convention, interest determination dates and related provisions and definitions, in each case that are consistent with accepted market practice for the use of such successor rate or alternative rate for Benchmark Rate-linked floating rate notes at such time), or, if no such industry standard is recognised or acknowledged, the method for calculating or determining such adjustment spread determined by the Calculation Agent (in consultation with the Issuer) to be appropriate; provided that</w:t>
      </w:r>
    </w:p>
    <w:p w14:paraId="0F3D6413" w14:textId="626A0FB9" w:rsidR="0001253E" w:rsidRDefault="0001253E" w:rsidP="00601850">
      <w:pPr>
        <w:pStyle w:val="ListParagraph"/>
        <w:numPr>
          <w:ilvl w:val="0"/>
          <w:numId w:val="17"/>
        </w:numPr>
        <w:spacing w:before="120" w:line="276" w:lineRule="auto"/>
        <w:contextualSpacing w:val="0"/>
        <w:jc w:val="both"/>
      </w:pPr>
      <w:r>
        <w:t xml:space="preserve">if and for so long as no such successor rate or alternative rate can be determined in accordance with paragraph (a), the Final Fallback Rate will be the last provided or published level of that Applicable Benchmark Rate; </w:t>
      </w:r>
    </w:p>
    <w:p w14:paraId="4134DD9B" w14:textId="77777777" w:rsidR="0001253E" w:rsidRDefault="0001253E" w:rsidP="00601850">
      <w:pPr>
        <w:spacing w:line="276" w:lineRule="auto"/>
        <w:jc w:val="both"/>
      </w:pPr>
      <w:r w:rsidRPr="0007265B">
        <w:rPr>
          <w:b/>
          <w:bCs/>
        </w:rPr>
        <w:t>Interest Determination Date</w:t>
      </w:r>
      <w:r>
        <w:t xml:space="preserve"> means, in respect of an Interest Period:</w:t>
      </w:r>
    </w:p>
    <w:p w14:paraId="24265FB2" w14:textId="32C94798" w:rsidR="0001253E" w:rsidRDefault="0001253E" w:rsidP="00601850">
      <w:pPr>
        <w:pStyle w:val="ListParagraph"/>
        <w:numPr>
          <w:ilvl w:val="0"/>
          <w:numId w:val="18"/>
        </w:numPr>
        <w:spacing w:before="120" w:line="276" w:lineRule="auto"/>
        <w:contextualSpacing w:val="0"/>
        <w:jc w:val="both"/>
      </w:pPr>
      <w:r>
        <w:t>where the BBSW Rate applies or the Final Fallback Rate applies under paragraph (</w:t>
      </w:r>
      <w:r w:rsidR="005527B9">
        <w:t>iv</w:t>
      </w:r>
      <w:r>
        <w:t>)(</w:t>
      </w:r>
      <w:r w:rsidR="005527B9">
        <w:t>C</w:t>
      </w:r>
      <w:r>
        <w:t xml:space="preserve">) </w:t>
      </w:r>
      <w:r w:rsidR="009B263F">
        <w:rPr>
          <w:rFonts w:eastAsia="Times New Roman" w:cs="Arial"/>
          <w:lang w:eastAsia="en-AU"/>
        </w:rPr>
        <w:t>of Condition [1.2] (“Benchmark rate fallback”)</w:t>
      </w:r>
      <w:r w:rsidR="00316DA5">
        <w:rPr>
          <w:rFonts w:eastAsia="Times New Roman" w:cs="Arial"/>
          <w:lang w:eastAsia="en-AU"/>
        </w:rPr>
        <w:t xml:space="preserve"> </w:t>
      </w:r>
      <w:r>
        <w:t>of the definition of Permanent Discontinuation Fallback, the first day of that Interest Period; and</w:t>
      </w:r>
    </w:p>
    <w:p w14:paraId="6F320814" w14:textId="5BA00633" w:rsidR="0001253E" w:rsidRDefault="0001253E" w:rsidP="00601850">
      <w:pPr>
        <w:pStyle w:val="ListParagraph"/>
        <w:numPr>
          <w:ilvl w:val="0"/>
          <w:numId w:val="18"/>
        </w:numPr>
        <w:spacing w:before="120" w:line="276" w:lineRule="auto"/>
        <w:contextualSpacing w:val="0"/>
        <w:jc w:val="both"/>
      </w:pPr>
      <w:r>
        <w:t xml:space="preserve">otherwise, the fifth Business Day prior to the last day of that Interest Period, </w:t>
      </w:r>
    </w:p>
    <w:p w14:paraId="6D6CCDFD" w14:textId="77777777" w:rsidR="0001253E" w:rsidRDefault="0001253E" w:rsidP="00601850">
      <w:pPr>
        <w:spacing w:before="120" w:line="276" w:lineRule="auto"/>
        <w:jc w:val="both"/>
      </w:pPr>
      <w:r>
        <w:t>subject in each case to adjustment in accordance with the applicable Business Day Convention;</w:t>
      </w:r>
    </w:p>
    <w:p w14:paraId="02276451" w14:textId="77777777" w:rsidR="0001253E" w:rsidRDefault="0001253E" w:rsidP="00601850">
      <w:pPr>
        <w:spacing w:before="120" w:line="276" w:lineRule="auto"/>
        <w:jc w:val="both"/>
      </w:pPr>
      <w:r w:rsidRPr="00530732">
        <w:rPr>
          <w:b/>
          <w:bCs/>
        </w:rPr>
        <w:t>Interest Rate</w:t>
      </w:r>
      <w:r w:rsidRPr="00530732">
        <w:t xml:space="preserve"> </w:t>
      </w:r>
      <w:r>
        <w:t>means, in respect of a Note, the interest rate (expressed as a percentage rate per annum) payable in respect of that Note specified in the Pricing Supplement or calculated or determined in accordance with these Conditions and the Pricing Supplement;</w:t>
      </w:r>
    </w:p>
    <w:p w14:paraId="3C401F37" w14:textId="77777777" w:rsidR="0001253E" w:rsidRDefault="0001253E" w:rsidP="00601850">
      <w:pPr>
        <w:spacing w:line="276" w:lineRule="auto"/>
        <w:jc w:val="both"/>
      </w:pPr>
      <w:r w:rsidRPr="00530732">
        <w:rPr>
          <w:b/>
          <w:bCs/>
        </w:rPr>
        <w:t>Non-Representative</w:t>
      </w:r>
      <w:r>
        <w:t xml:space="preserve"> means, in respect of an Applicable Benchmark Rate, that the Supervisor of that Applicable Benchmark Rate if the Applicable Benchmark Rate is the BBSW Rate, or the Administrator of the Applicable Benchmark Rate if the Applicable Benchmark Rate is AONIA or the RBA Recommended Rate:</w:t>
      </w:r>
    </w:p>
    <w:p w14:paraId="02FA45C5" w14:textId="1A94F30C" w:rsidR="0001253E" w:rsidRDefault="0001253E" w:rsidP="00601850">
      <w:pPr>
        <w:pStyle w:val="ListParagraph"/>
        <w:numPr>
          <w:ilvl w:val="0"/>
          <w:numId w:val="19"/>
        </w:numPr>
        <w:spacing w:before="120" w:line="276" w:lineRule="auto"/>
        <w:contextualSpacing w:val="0"/>
        <w:jc w:val="both"/>
      </w:pPr>
      <w:r>
        <w:t>has determined that such Applicable Benchmark Rate is no longer, or as of a specified future date will no longer be, representative of the underlying market and economic reality that such Applicable Benchmark Rate is intended to measure and that representativeness will not be restored; and</w:t>
      </w:r>
    </w:p>
    <w:p w14:paraId="5653574E" w14:textId="233BAE35" w:rsidR="0001253E" w:rsidRDefault="0001253E" w:rsidP="00601850">
      <w:pPr>
        <w:pStyle w:val="ListParagraph"/>
        <w:numPr>
          <w:ilvl w:val="0"/>
          <w:numId w:val="19"/>
        </w:numPr>
        <w:spacing w:before="120" w:line="276" w:lineRule="auto"/>
        <w:contextualSpacing w:val="0"/>
        <w:jc w:val="both"/>
      </w:pPr>
      <w:r>
        <w:t>is aware that such determination will engage certain contractual triggers for fallbacks activated by pre-cessation announcements by such Supervisor (howsoever described) in contracts;</w:t>
      </w:r>
    </w:p>
    <w:p w14:paraId="564922C7" w14:textId="395DE59F" w:rsidR="0001253E" w:rsidRDefault="0001253E" w:rsidP="00601850">
      <w:pPr>
        <w:spacing w:line="276" w:lineRule="auto"/>
        <w:jc w:val="both"/>
      </w:pPr>
      <w:r w:rsidRPr="00530732">
        <w:rPr>
          <w:b/>
          <w:bCs/>
        </w:rPr>
        <w:t>Permanent Discontinuation Trigger</w:t>
      </w:r>
      <w:r>
        <w:t xml:space="preserve"> means, in respect of an Applicable Benchmark Rate: </w:t>
      </w:r>
    </w:p>
    <w:p w14:paraId="4EC81C29" w14:textId="428159BC" w:rsidR="0001253E" w:rsidRDefault="0001253E" w:rsidP="00601850">
      <w:pPr>
        <w:pStyle w:val="ListParagraph"/>
        <w:numPr>
          <w:ilvl w:val="0"/>
          <w:numId w:val="20"/>
        </w:numPr>
        <w:spacing w:before="120" w:line="276" w:lineRule="auto"/>
        <w:contextualSpacing w:val="0"/>
        <w:jc w:val="both"/>
      </w:pPr>
      <w:r>
        <w:t>a public statement or publication of information by or on behalf of the Administrator of the Applicable Benchmark Rate announcing that it has ceased or that it will cease to provide the Applicable Benchmark Rate permanently or indefinitely, provided that, at the time of the statement or publication, there is no successor administrator or provider, as applicable, that will continue to provide the Applicable Benchmark Rate and, in the case of the BBSW Rate, a public statement or publication of information by or on behalf of the Supervisor of the BBSW Rate has confirmed that cessation;</w:t>
      </w:r>
    </w:p>
    <w:p w14:paraId="6DED3200" w14:textId="08DEA5DE" w:rsidR="0001253E" w:rsidRDefault="0001253E" w:rsidP="00601850">
      <w:pPr>
        <w:pStyle w:val="ListParagraph"/>
        <w:numPr>
          <w:ilvl w:val="0"/>
          <w:numId w:val="20"/>
        </w:numPr>
        <w:spacing w:before="120" w:line="276" w:lineRule="auto"/>
        <w:contextualSpacing w:val="0"/>
        <w:jc w:val="both"/>
      </w:pPr>
      <w:r>
        <w:lastRenderedPageBreak/>
        <w:t xml:space="preserve">a public statement or publication of information by the Supervisor of the Applicable Benchmark Rate, the Reserve Bank of Australia (or any successor central bank for Australian dollars), an insolvency official or resolution authority with jurisdiction over the Administrator of the Applicable Benchmark Rate or a court or an entity with similar insolvency or resolution authority over the Administrator of the Applicable Benchmark Rate which states that the Administrator of the Applicable Benchmark Rate has ceased or will cease to provide the Applicable Rate permanently or indefinitely, provided that, at the time of the statement or publication, there is no successor administrator or provider that will continue to provide the Applicable Benchmark Rate and, in the case of the BBSW Rate and a public statement or publication of information other than by the Supervisor, a public statement or publication of information by or on behalf of the Supervisor of the BBSW Rate has confirmed that cessation; </w:t>
      </w:r>
    </w:p>
    <w:p w14:paraId="3FA4136D" w14:textId="4C512255" w:rsidR="0001253E" w:rsidRDefault="0001253E" w:rsidP="00601850">
      <w:pPr>
        <w:pStyle w:val="ListParagraph"/>
        <w:numPr>
          <w:ilvl w:val="0"/>
          <w:numId w:val="20"/>
        </w:numPr>
        <w:spacing w:before="120" w:line="276" w:lineRule="auto"/>
        <w:contextualSpacing w:val="0"/>
        <w:jc w:val="both"/>
      </w:pPr>
      <w:r>
        <w:t xml:space="preserve">a public statement by the Supervisor of the Applicable Benchmark Rate if the Applicable Benchmark Rate is the BBSW Rate, or the Administrator of the Applicable Benchmark Rate if the Applicable Benchmark Rate is AONIA or the RBA Recommended Rate, as a consequence of which the Applicable Benchmark Rate will be prohibited from being used either generally, or in respect of the Notes, or that its use will be subject to restrictions or adverse consequences to the Issuer or a Noteholder; </w:t>
      </w:r>
    </w:p>
    <w:p w14:paraId="148A05F5" w14:textId="272C6F8F" w:rsidR="0001253E" w:rsidRDefault="0001253E" w:rsidP="00601850">
      <w:pPr>
        <w:pStyle w:val="ListParagraph"/>
        <w:numPr>
          <w:ilvl w:val="0"/>
          <w:numId w:val="20"/>
        </w:numPr>
        <w:spacing w:before="120" w:line="276" w:lineRule="auto"/>
        <w:contextualSpacing w:val="0"/>
        <w:jc w:val="both"/>
      </w:pPr>
      <w:r>
        <w:t xml:space="preserve">as a consequence of a change in law or directive arising after the Issue Date of the first Tranche of Notes of a Series, it has become unlawful for the Calculation Agent, the Issuer or any other party responsible for calculations of interest under the Conditions to calculate any payments due to be made to any Note Holder using the Applicable Benchmark Rate; </w:t>
      </w:r>
    </w:p>
    <w:p w14:paraId="0E1334D0" w14:textId="418805B6" w:rsidR="0001253E" w:rsidRDefault="0001253E" w:rsidP="00601850">
      <w:pPr>
        <w:pStyle w:val="ListParagraph"/>
        <w:numPr>
          <w:ilvl w:val="0"/>
          <w:numId w:val="20"/>
        </w:numPr>
        <w:spacing w:before="120" w:line="276" w:lineRule="auto"/>
        <w:contextualSpacing w:val="0"/>
        <w:jc w:val="both"/>
      </w:pPr>
      <w:r>
        <w:t>a public statement or publication of information by the Supervisor of the Applicable Benchmark Rate if the Applicable Benchmark Rate is the BBSW Rate, or the Administrator of the Applicable Benchmark Rate if the Applicable Benchmark Rate is AONIA or the RBA Recommended Rate, stating that the Applicable Benchmark Rate is Non-Representative; or</w:t>
      </w:r>
    </w:p>
    <w:p w14:paraId="11DDDADE" w14:textId="4224C5C9" w:rsidR="0001253E" w:rsidRDefault="0001253E" w:rsidP="00601850">
      <w:pPr>
        <w:pStyle w:val="ListParagraph"/>
        <w:numPr>
          <w:ilvl w:val="0"/>
          <w:numId w:val="20"/>
        </w:numPr>
        <w:spacing w:before="120" w:line="276" w:lineRule="auto"/>
        <w:contextualSpacing w:val="0"/>
        <w:jc w:val="both"/>
      </w:pPr>
      <w:r>
        <w:t>the Applicable Benchmark Rate has otherwise ceased to exist or be administered on a permanent or indefinite basis;</w:t>
      </w:r>
    </w:p>
    <w:p w14:paraId="07223F2F" w14:textId="77777777" w:rsidR="0001253E" w:rsidRDefault="0001253E" w:rsidP="00601850">
      <w:pPr>
        <w:spacing w:line="276" w:lineRule="auto"/>
        <w:jc w:val="both"/>
      </w:pPr>
      <w:r w:rsidRPr="00601850">
        <w:rPr>
          <w:b/>
          <w:bCs/>
        </w:rPr>
        <w:t>Permanent Fallback Effective Date</w:t>
      </w:r>
      <w:r>
        <w:t xml:space="preserve"> means, in respect of a Permanent Discontinuation Trigger for an Applicable Benchmark Rate:</w:t>
      </w:r>
    </w:p>
    <w:p w14:paraId="47DE9AF5" w14:textId="0FD7F5B6" w:rsidR="0001253E" w:rsidRDefault="0001253E" w:rsidP="00601850">
      <w:pPr>
        <w:pStyle w:val="ListParagraph"/>
        <w:numPr>
          <w:ilvl w:val="0"/>
          <w:numId w:val="21"/>
        </w:numPr>
        <w:spacing w:before="120" w:line="276" w:lineRule="auto"/>
        <w:contextualSpacing w:val="0"/>
        <w:jc w:val="both"/>
      </w:pPr>
      <w:r>
        <w:t>in the case of paragraphs (a) and (b) of the definition of “Permanent Discontinuation Trigger”, the first date on which the Applicable Benchmark Rate would ordinarily have been published or provided and is no longer published or provided;</w:t>
      </w:r>
    </w:p>
    <w:p w14:paraId="41EB7B46" w14:textId="169672DE" w:rsidR="0001253E" w:rsidRDefault="0001253E" w:rsidP="00601850">
      <w:pPr>
        <w:pStyle w:val="ListParagraph"/>
        <w:numPr>
          <w:ilvl w:val="0"/>
          <w:numId w:val="21"/>
        </w:numPr>
        <w:spacing w:before="120" w:line="276" w:lineRule="auto"/>
        <w:contextualSpacing w:val="0"/>
        <w:jc w:val="both"/>
      </w:pPr>
      <w:r>
        <w:t>in the case of paragraphs (c) and (d) of the definition of “Permanent Discontinuation Trigger”, the date from which use of the Applicable Benchmark Rate is prohibited or becomes subject to restrictions or adverse consequences or the calculation becomes unlawful (as applicable);</w:t>
      </w:r>
    </w:p>
    <w:p w14:paraId="01E51735" w14:textId="2B1BA3A1" w:rsidR="0001253E" w:rsidRDefault="0001253E" w:rsidP="00601850">
      <w:pPr>
        <w:pStyle w:val="ListParagraph"/>
        <w:numPr>
          <w:ilvl w:val="0"/>
          <w:numId w:val="21"/>
        </w:numPr>
        <w:spacing w:before="120" w:line="276" w:lineRule="auto"/>
        <w:contextualSpacing w:val="0"/>
        <w:jc w:val="both"/>
      </w:pPr>
      <w:r>
        <w:t>in the case of paragraph (e) of the definition of “Permanent Discontinuation Trigger”, the first date on which the Applicable Benchmark Rate would ordinarily have been published or provided but is Non-Representative by reference to the most recent statement or publication contemplated in that paragraph and even if such Applicable Benchmark Rates continues to be published or provided on such date; or</w:t>
      </w:r>
    </w:p>
    <w:p w14:paraId="4CB7F983" w14:textId="5B3B6FB8" w:rsidR="0001253E" w:rsidRDefault="0001253E" w:rsidP="00601850">
      <w:pPr>
        <w:pStyle w:val="ListParagraph"/>
        <w:numPr>
          <w:ilvl w:val="0"/>
          <w:numId w:val="21"/>
        </w:numPr>
        <w:spacing w:before="120" w:line="276" w:lineRule="auto"/>
        <w:contextualSpacing w:val="0"/>
        <w:jc w:val="both"/>
      </w:pPr>
      <w:r>
        <w:lastRenderedPageBreak/>
        <w:t>in the case of paragraph (f) of the definition of “Permanent Discontinuation Trigger”, the date that event occurs;</w:t>
      </w:r>
    </w:p>
    <w:p w14:paraId="48EBE557" w14:textId="77777777" w:rsidR="0001253E" w:rsidRDefault="0001253E" w:rsidP="00601850">
      <w:pPr>
        <w:spacing w:line="276" w:lineRule="auto"/>
        <w:jc w:val="both"/>
      </w:pPr>
      <w:r w:rsidRPr="00601850">
        <w:rPr>
          <w:b/>
          <w:bCs/>
        </w:rPr>
        <w:t>Publication Time</w:t>
      </w:r>
      <w:r>
        <w:t xml:space="preserve"> means:</w:t>
      </w:r>
    </w:p>
    <w:p w14:paraId="467C926A" w14:textId="77777777" w:rsidR="00601850" w:rsidRDefault="0001253E" w:rsidP="00601850">
      <w:pPr>
        <w:pStyle w:val="ListParagraph"/>
        <w:numPr>
          <w:ilvl w:val="0"/>
          <w:numId w:val="22"/>
        </w:numPr>
        <w:spacing w:before="120" w:line="276" w:lineRule="auto"/>
        <w:contextualSpacing w:val="0"/>
        <w:jc w:val="both"/>
      </w:pPr>
      <w:r>
        <w:t>in respect of the BBSW Rate, 12.00noon (Sydney time) or any amended publication time for the final intraday refix of such rate specified by the Administrator for the BBSW Rate in its benchmark methodology; and</w:t>
      </w:r>
    </w:p>
    <w:p w14:paraId="1CCA27C7" w14:textId="3379108C" w:rsidR="0001253E" w:rsidRDefault="0001253E" w:rsidP="00601850">
      <w:pPr>
        <w:pStyle w:val="ListParagraph"/>
        <w:numPr>
          <w:ilvl w:val="0"/>
          <w:numId w:val="22"/>
        </w:numPr>
        <w:spacing w:before="120" w:line="276" w:lineRule="auto"/>
        <w:contextualSpacing w:val="0"/>
        <w:jc w:val="both"/>
      </w:pPr>
      <w:r>
        <w:t>in respect of AONIA, 4.00pm (Sydney time) or any amended publication time for the final intraday refix of such rate specified by the Administrator for AONIA in its benchmark methodology;</w:t>
      </w:r>
    </w:p>
    <w:p w14:paraId="1264C9B9" w14:textId="77777777" w:rsidR="0001253E" w:rsidRDefault="0001253E" w:rsidP="00601850">
      <w:pPr>
        <w:spacing w:line="276" w:lineRule="auto"/>
        <w:jc w:val="both"/>
      </w:pPr>
      <w:r w:rsidRPr="00601850">
        <w:rPr>
          <w:b/>
          <w:bCs/>
        </w:rPr>
        <w:t>RBA Recommended Fallback Rate</w:t>
      </w:r>
      <w:r>
        <w:t xml:space="preserve"> has the same meaning given to AONIA Rate but with necessary adjustments to substitute all references to AONIA with corresponding references to the RBA Recommended Rate;</w:t>
      </w:r>
    </w:p>
    <w:p w14:paraId="3F9B7C2C" w14:textId="77777777" w:rsidR="0001253E" w:rsidRDefault="0001253E" w:rsidP="00601850">
      <w:pPr>
        <w:spacing w:line="276" w:lineRule="auto"/>
        <w:jc w:val="both"/>
      </w:pPr>
      <w:r w:rsidRPr="00601850">
        <w:rPr>
          <w:b/>
          <w:bCs/>
        </w:rPr>
        <w:t>RBA Recommended Rate</w:t>
      </w:r>
      <w:r>
        <w:t xml:space="preserve"> means, in respect of any relevant day (including any day “</w:t>
      </w:r>
      <w:r w:rsidRPr="0083322B">
        <w:rPr>
          <w:rFonts w:ascii="Times New Roman" w:hAnsi="Times New Roman" w:cs="Times New Roman"/>
          <w:i/>
          <w:iCs/>
        </w:rPr>
        <w:t>i</w:t>
      </w:r>
      <w:r>
        <w:t xml:space="preserve">”),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 </w:t>
      </w:r>
    </w:p>
    <w:p w14:paraId="4AF78624" w14:textId="77777777" w:rsidR="0001253E" w:rsidRDefault="0001253E" w:rsidP="00601850">
      <w:pPr>
        <w:spacing w:line="276" w:lineRule="auto"/>
        <w:jc w:val="both"/>
      </w:pPr>
      <w:r w:rsidRPr="00601850">
        <w:rPr>
          <w:b/>
          <w:bCs/>
        </w:rPr>
        <w:t>Supervisor</w:t>
      </w:r>
      <w:r>
        <w:t xml:space="preserve"> means, in respect of an Applicable Benchmark Rate, the supervisor or competent authority that is responsible for supervising that Applicable Benchmark Rate or the Administrator of that Applicable Benchmark Rate, or any committee officially endorsed or convened by any such supervisor or competent authority that is responsible for supervising that Applicable Benchmark Rate or the Administrator of that Applicable Benchmark Rate;</w:t>
      </w:r>
    </w:p>
    <w:p w14:paraId="14E1EAF9" w14:textId="77777777" w:rsidR="0001253E" w:rsidRDefault="0001253E" w:rsidP="00601850">
      <w:pPr>
        <w:spacing w:line="276" w:lineRule="auto"/>
        <w:jc w:val="both"/>
      </w:pPr>
      <w:r w:rsidRPr="00601850">
        <w:rPr>
          <w:b/>
          <w:bCs/>
        </w:rPr>
        <w:t>Supervisor Recommended Rate</w:t>
      </w:r>
      <w:r>
        <w:t xml:space="preserve"> means the rate formally recommended for use as the temporary replacement for the BBSW Rate by the Supervisor of the BBSW Rate;</w:t>
      </w:r>
    </w:p>
    <w:p w14:paraId="3A000868" w14:textId="77777777" w:rsidR="0001253E" w:rsidRDefault="0001253E" w:rsidP="00601850">
      <w:pPr>
        <w:spacing w:line="276" w:lineRule="auto"/>
        <w:jc w:val="both"/>
      </w:pPr>
      <w:r w:rsidRPr="00601850">
        <w:rPr>
          <w:b/>
          <w:bCs/>
        </w:rPr>
        <w:t>Temporary Disruption Trigger</w:t>
      </w:r>
      <w:r>
        <w:t xml:space="preserve"> means, in respect of any Applicable Benchmark Rate which is required for any determination:</w:t>
      </w:r>
    </w:p>
    <w:p w14:paraId="2E4F4F3B" w14:textId="786FEBC1" w:rsidR="0001253E" w:rsidRDefault="0001253E" w:rsidP="00601850">
      <w:pPr>
        <w:pStyle w:val="ListParagraph"/>
        <w:numPr>
          <w:ilvl w:val="0"/>
          <w:numId w:val="23"/>
        </w:numPr>
        <w:spacing w:before="120" w:line="276" w:lineRule="auto"/>
        <w:contextualSpacing w:val="0"/>
        <w:jc w:val="both"/>
      </w:pPr>
      <w:r>
        <w:t>the Applicable Benchmark Rate has not been published by the applicable Administrator or an authorised distributor and is not otherwise provided by the Administrator, in respect of, on, for or by the time and date on which that Applicable Benchmark Rate is required; or</w:t>
      </w:r>
    </w:p>
    <w:p w14:paraId="339F4EEB" w14:textId="3DAE79F8" w:rsidR="0001253E" w:rsidRDefault="0001253E" w:rsidP="00601850">
      <w:pPr>
        <w:pStyle w:val="ListParagraph"/>
        <w:numPr>
          <w:ilvl w:val="0"/>
          <w:numId w:val="23"/>
        </w:numPr>
        <w:spacing w:before="120" w:line="276" w:lineRule="auto"/>
        <w:contextualSpacing w:val="0"/>
        <w:jc w:val="both"/>
      </w:pPr>
      <w:r>
        <w:t>the Applicable Benchmark Rate is published or provided but the Calculation Agent determines that there is an obvious or proven error in that rate.</w:t>
      </w:r>
    </w:p>
    <w:p w14:paraId="0C836CA7" w14:textId="77777777" w:rsidR="0001253E" w:rsidRDefault="0001253E" w:rsidP="00601850">
      <w:pPr>
        <w:jc w:val="both"/>
      </w:pPr>
    </w:p>
    <w:sectPr w:rsidR="0001253E" w:rsidSect="0007265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2B83" w14:textId="77777777" w:rsidR="0001253E" w:rsidRDefault="0001253E" w:rsidP="0001253E">
      <w:pPr>
        <w:spacing w:after="0" w:line="240" w:lineRule="auto"/>
      </w:pPr>
      <w:r>
        <w:separator/>
      </w:r>
    </w:p>
  </w:endnote>
  <w:endnote w:type="continuationSeparator" w:id="0">
    <w:p w14:paraId="20377073" w14:textId="77777777" w:rsidR="0001253E" w:rsidRDefault="0001253E" w:rsidP="0001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66902"/>
      <w:docPartObj>
        <w:docPartGallery w:val="Page Numbers (Bottom of Page)"/>
        <w:docPartUnique/>
      </w:docPartObj>
    </w:sdtPr>
    <w:sdtEndPr>
      <w:rPr>
        <w:noProof/>
      </w:rPr>
    </w:sdtEndPr>
    <w:sdtContent>
      <w:p w14:paraId="15569BB1" w14:textId="24658867" w:rsidR="0007265B" w:rsidRDefault="00072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12716" w14:textId="77777777" w:rsidR="0007265B" w:rsidRDefault="00072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51620"/>
      <w:docPartObj>
        <w:docPartGallery w:val="Page Numbers (Bottom of Page)"/>
        <w:docPartUnique/>
      </w:docPartObj>
    </w:sdtPr>
    <w:sdtEndPr>
      <w:rPr>
        <w:noProof/>
      </w:rPr>
    </w:sdtEndPr>
    <w:sdtContent>
      <w:p w14:paraId="657E02F4" w14:textId="08A563EF" w:rsidR="0007265B" w:rsidRDefault="00072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46308" w14:textId="77777777" w:rsidR="0007265B" w:rsidRDefault="0007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F3B9" w14:textId="77777777" w:rsidR="0001253E" w:rsidRDefault="0001253E" w:rsidP="0001253E">
      <w:pPr>
        <w:spacing w:after="0" w:line="240" w:lineRule="auto"/>
      </w:pPr>
      <w:r>
        <w:separator/>
      </w:r>
    </w:p>
  </w:footnote>
  <w:footnote w:type="continuationSeparator" w:id="0">
    <w:p w14:paraId="1D76A032" w14:textId="77777777" w:rsidR="0001253E" w:rsidRDefault="0001253E" w:rsidP="0001253E">
      <w:pPr>
        <w:spacing w:after="0" w:line="240" w:lineRule="auto"/>
      </w:pPr>
      <w:r>
        <w:continuationSeparator/>
      </w:r>
    </w:p>
  </w:footnote>
  <w:footnote w:id="1">
    <w:p w14:paraId="687609E4" w14:textId="5F321204" w:rsidR="001B7B0A" w:rsidRPr="001B7B0A" w:rsidRDefault="001B7B0A">
      <w:pPr>
        <w:pStyle w:val="FootnoteText"/>
        <w:rPr>
          <w:sz w:val="18"/>
          <w:szCs w:val="18"/>
        </w:rPr>
      </w:pPr>
      <w:r>
        <w:rPr>
          <w:rStyle w:val="FootnoteReference"/>
        </w:rPr>
        <w:footnoteRef/>
      </w:r>
      <w:r>
        <w:t xml:space="preserve"> </w:t>
      </w:r>
      <w:r w:rsidRPr="001B7B0A">
        <w:rPr>
          <w:sz w:val="18"/>
          <w:szCs w:val="18"/>
        </w:rPr>
        <w:t>To include if not addressed elsewhere in the Conditions</w:t>
      </w:r>
    </w:p>
  </w:footnote>
  <w:footnote w:id="2">
    <w:p w14:paraId="203CCB5E" w14:textId="148488E4" w:rsidR="001B7B0A" w:rsidRDefault="001B7B0A">
      <w:pPr>
        <w:pStyle w:val="FootnoteText"/>
      </w:pPr>
      <w:r>
        <w:rPr>
          <w:rStyle w:val="FootnoteReference"/>
        </w:rPr>
        <w:footnoteRef/>
      </w:r>
      <w:r>
        <w:t xml:space="preserve"> </w:t>
      </w:r>
      <w:r w:rsidRPr="001B7B0A">
        <w:rPr>
          <w:sz w:val="18"/>
          <w:szCs w:val="18"/>
        </w:rPr>
        <w:t>Definitions could also be included in the general definitions and interpretation clause if preferred.</w:t>
      </w:r>
    </w:p>
  </w:footnote>
  <w:footnote w:id="3">
    <w:p w14:paraId="71CF1366" w14:textId="39237786" w:rsidR="001B7B0A" w:rsidRPr="001B7B0A" w:rsidRDefault="001B7B0A" w:rsidP="001B7B0A">
      <w:pPr>
        <w:pStyle w:val="FootnoteText"/>
        <w:rPr>
          <w:sz w:val="18"/>
          <w:szCs w:val="18"/>
        </w:rPr>
      </w:pPr>
      <w:r>
        <w:rPr>
          <w:rStyle w:val="FootnoteReference"/>
        </w:rPr>
        <w:footnoteRef/>
      </w:r>
      <w:r>
        <w:t xml:space="preserve"> </w:t>
      </w:r>
      <w:r w:rsidRPr="001B7B0A">
        <w:t xml:space="preserve">  </w:t>
      </w:r>
      <w:r w:rsidRPr="001B7B0A">
        <w:rPr>
          <w:sz w:val="18"/>
          <w:szCs w:val="18"/>
        </w:rPr>
        <w:t>This drafting suggests 5 Business Days to allow for most determination dates.  The appropriate lookback should be confirmed in the context of transaction details and adjustments made if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351" w14:textId="23661714" w:rsidR="0007265B" w:rsidRPr="0007265B" w:rsidRDefault="0007265B" w:rsidP="0007265B">
    <w:pPr>
      <w:pStyle w:val="Header"/>
      <w:jc w:val="right"/>
      <w:rPr>
        <w:color w:val="808080" w:themeColor="background1" w:themeShade="80"/>
      </w:rPr>
    </w:pPr>
    <w:r w:rsidRPr="0007265B">
      <w:rPr>
        <w:color w:val="808080" w:themeColor="background1" w:themeShade="80"/>
      </w:rPr>
      <w:t xml:space="preserve">AFMA BBSW Fallback Language FRN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CF2" w14:textId="6D987BDD" w:rsidR="00B52B59" w:rsidRDefault="00B52B59">
    <w:pPr>
      <w:pStyle w:val="Header"/>
    </w:pPr>
    <w:r>
      <w:rPr>
        <w:noProof/>
      </w:rPr>
      <w:drawing>
        <wp:inline distT="0" distB="0" distL="0" distR="0" wp14:anchorId="0DD4B6F0" wp14:editId="347ACD29">
          <wp:extent cx="970915" cy="1059180"/>
          <wp:effectExtent l="0" t="0" r="0" b="0"/>
          <wp:docPr id="1"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5" descr="A picture containing text, clipart&#10;&#10;Description automatically generated"/>
                  <pic:cNvPicPr>
                    <a:picLocks noChangeAspect="1" noChangeArrowheads="1"/>
                  </pic:cNvPicPr>
                </pic:nvPicPr>
                <pic:blipFill>
                  <a:blip r:embed="rId1"/>
                  <a:stretch>
                    <a:fillRect/>
                  </a:stretch>
                </pic:blipFill>
                <pic:spPr bwMode="auto">
                  <a:xfrm>
                    <a:off x="0" y="0"/>
                    <a:ext cx="970915" cy="1059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06A"/>
    <w:multiLevelType w:val="hybridMultilevel"/>
    <w:tmpl w:val="10480D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63907"/>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64F2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CA25DC"/>
    <w:multiLevelType w:val="hybridMultilevel"/>
    <w:tmpl w:val="2604D284"/>
    <w:lvl w:ilvl="0" w:tplc="2496E69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354464"/>
    <w:multiLevelType w:val="hybridMultilevel"/>
    <w:tmpl w:val="0E2036A0"/>
    <w:lvl w:ilvl="0" w:tplc="B406B7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C85084"/>
    <w:multiLevelType w:val="hybridMultilevel"/>
    <w:tmpl w:val="5DD67736"/>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60C1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41729"/>
    <w:multiLevelType w:val="hybridMultilevel"/>
    <w:tmpl w:val="53FA0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85CED"/>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70498A"/>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169A1"/>
    <w:multiLevelType w:val="hybridMultilevel"/>
    <w:tmpl w:val="8598BAE6"/>
    <w:lvl w:ilvl="0" w:tplc="7382C678">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C7CAB"/>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4D778E"/>
    <w:multiLevelType w:val="multilevel"/>
    <w:tmpl w:val="DD104F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586C29"/>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D82FFC"/>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1D4BE3"/>
    <w:multiLevelType w:val="hybridMultilevel"/>
    <w:tmpl w:val="CF242D30"/>
    <w:lvl w:ilvl="0" w:tplc="8EB8D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621D3E"/>
    <w:multiLevelType w:val="hybridMultilevel"/>
    <w:tmpl w:val="ABF8C1E2"/>
    <w:lvl w:ilvl="0" w:tplc="70E6B8D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510A9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D043F"/>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135330"/>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2746F3"/>
    <w:multiLevelType w:val="hybridMultilevel"/>
    <w:tmpl w:val="37F2AC6E"/>
    <w:lvl w:ilvl="0" w:tplc="DCA68C38">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75F3C70"/>
    <w:multiLevelType w:val="hybridMultilevel"/>
    <w:tmpl w:val="A11652EA"/>
    <w:lvl w:ilvl="0" w:tplc="9572A896">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958778A"/>
    <w:multiLevelType w:val="hybridMultilevel"/>
    <w:tmpl w:val="A11652EA"/>
    <w:lvl w:ilvl="0" w:tplc="9572A896">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0"/>
  </w:num>
  <w:num w:numId="3">
    <w:abstractNumId w:val="4"/>
  </w:num>
  <w:num w:numId="4">
    <w:abstractNumId w:val="7"/>
  </w:num>
  <w:num w:numId="5">
    <w:abstractNumId w:val="16"/>
  </w:num>
  <w:num w:numId="6">
    <w:abstractNumId w:val="5"/>
  </w:num>
  <w:num w:numId="7">
    <w:abstractNumId w:val="14"/>
  </w:num>
  <w:num w:numId="8">
    <w:abstractNumId w:val="3"/>
  </w:num>
  <w:num w:numId="9">
    <w:abstractNumId w:val="15"/>
  </w:num>
  <w:num w:numId="10">
    <w:abstractNumId w:val="21"/>
  </w:num>
  <w:num w:numId="11">
    <w:abstractNumId w:val="10"/>
  </w:num>
  <w:num w:numId="12">
    <w:abstractNumId w:val="20"/>
  </w:num>
  <w:num w:numId="13">
    <w:abstractNumId w:val="22"/>
  </w:num>
  <w:num w:numId="14">
    <w:abstractNumId w:val="18"/>
  </w:num>
  <w:num w:numId="15">
    <w:abstractNumId w:val="17"/>
  </w:num>
  <w:num w:numId="16">
    <w:abstractNumId w:val="6"/>
  </w:num>
  <w:num w:numId="17">
    <w:abstractNumId w:val="13"/>
  </w:num>
  <w:num w:numId="18">
    <w:abstractNumId w:val="19"/>
  </w:num>
  <w:num w:numId="19">
    <w:abstractNumId w:val="8"/>
  </w:num>
  <w:num w:numId="20">
    <w:abstractNumId w:val="2"/>
  </w:num>
  <w:num w:numId="21">
    <w:abstractNumId w:val="9"/>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MTE0NzY3NzIwNTdR0lEKTi0uzszPAykwrAUAFFW1tywAAAA="/>
  </w:docVars>
  <w:rsids>
    <w:rsidRoot w:val="0001253E"/>
    <w:rsid w:val="0001253E"/>
    <w:rsid w:val="0007265B"/>
    <w:rsid w:val="00147678"/>
    <w:rsid w:val="001931EA"/>
    <w:rsid w:val="001B7B0A"/>
    <w:rsid w:val="001E026C"/>
    <w:rsid w:val="00225F90"/>
    <w:rsid w:val="00276E8F"/>
    <w:rsid w:val="00302C9F"/>
    <w:rsid w:val="00316DA5"/>
    <w:rsid w:val="00346E8A"/>
    <w:rsid w:val="003F78CB"/>
    <w:rsid w:val="0045128F"/>
    <w:rsid w:val="00530732"/>
    <w:rsid w:val="005527B9"/>
    <w:rsid w:val="0057615B"/>
    <w:rsid w:val="00601850"/>
    <w:rsid w:val="0083322B"/>
    <w:rsid w:val="00873E06"/>
    <w:rsid w:val="008F4992"/>
    <w:rsid w:val="00966649"/>
    <w:rsid w:val="009B263F"/>
    <w:rsid w:val="00A006C4"/>
    <w:rsid w:val="00A76F2E"/>
    <w:rsid w:val="00AA0287"/>
    <w:rsid w:val="00B52B59"/>
    <w:rsid w:val="00B7643E"/>
    <w:rsid w:val="00C11FA8"/>
    <w:rsid w:val="00CC4193"/>
    <w:rsid w:val="00D54FD4"/>
    <w:rsid w:val="00D97F04"/>
    <w:rsid w:val="00E51925"/>
    <w:rsid w:val="00EA65CD"/>
    <w:rsid w:val="00F36F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DB18C7"/>
  <w15:chartTrackingRefBased/>
  <w15:docId w15:val="{EE4FF6E3-D2A9-4701-B82A-B4CC9626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3E"/>
    <w:pPr>
      <w:ind w:left="720"/>
      <w:contextualSpacing/>
    </w:pPr>
  </w:style>
  <w:style w:type="character" w:styleId="PlaceholderText">
    <w:name w:val="Placeholder Text"/>
    <w:basedOn w:val="DefaultParagraphFont"/>
    <w:uiPriority w:val="99"/>
    <w:semiHidden/>
    <w:rsid w:val="003F78CB"/>
    <w:rPr>
      <w:color w:val="808080"/>
    </w:rPr>
  </w:style>
  <w:style w:type="paragraph" w:styleId="Header">
    <w:name w:val="header"/>
    <w:basedOn w:val="Normal"/>
    <w:link w:val="HeaderChar"/>
    <w:uiPriority w:val="99"/>
    <w:unhideWhenUsed/>
    <w:rsid w:val="0007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5B"/>
  </w:style>
  <w:style w:type="paragraph" w:styleId="Footer">
    <w:name w:val="footer"/>
    <w:basedOn w:val="Normal"/>
    <w:link w:val="FooterChar"/>
    <w:uiPriority w:val="99"/>
    <w:unhideWhenUsed/>
    <w:rsid w:val="0007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5B"/>
  </w:style>
  <w:style w:type="paragraph" w:styleId="FootnoteText">
    <w:name w:val="footnote text"/>
    <w:basedOn w:val="Normal"/>
    <w:link w:val="FootnoteTextChar"/>
    <w:uiPriority w:val="99"/>
    <w:semiHidden/>
    <w:unhideWhenUsed/>
    <w:rsid w:val="001B7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B0A"/>
    <w:rPr>
      <w:sz w:val="20"/>
      <w:szCs w:val="20"/>
    </w:rPr>
  </w:style>
  <w:style w:type="character" w:styleId="FootnoteReference">
    <w:name w:val="footnote reference"/>
    <w:basedOn w:val="DefaultParagraphFont"/>
    <w:uiPriority w:val="99"/>
    <w:semiHidden/>
    <w:unhideWhenUsed/>
    <w:rsid w:val="001B7B0A"/>
    <w:rPr>
      <w:vertAlign w:val="superscript"/>
    </w:rPr>
  </w:style>
  <w:style w:type="paragraph" w:styleId="BalloonText">
    <w:name w:val="Balloon Text"/>
    <w:basedOn w:val="Normal"/>
    <w:link w:val="BalloonTextChar"/>
    <w:uiPriority w:val="99"/>
    <w:semiHidden/>
    <w:unhideWhenUsed/>
    <w:rsid w:val="0022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90"/>
    <w:rPr>
      <w:rFonts w:ascii="Segoe UI" w:hAnsi="Segoe UI" w:cs="Segoe UI"/>
      <w:sz w:val="18"/>
      <w:szCs w:val="18"/>
    </w:rPr>
  </w:style>
  <w:style w:type="character" w:styleId="CommentReference">
    <w:name w:val="annotation reference"/>
    <w:basedOn w:val="DefaultParagraphFont"/>
    <w:uiPriority w:val="99"/>
    <w:semiHidden/>
    <w:unhideWhenUsed/>
    <w:rsid w:val="00B7643E"/>
    <w:rPr>
      <w:sz w:val="16"/>
      <w:szCs w:val="16"/>
    </w:rPr>
  </w:style>
  <w:style w:type="paragraph" w:styleId="CommentText">
    <w:name w:val="annotation text"/>
    <w:basedOn w:val="Normal"/>
    <w:link w:val="CommentTextChar"/>
    <w:uiPriority w:val="99"/>
    <w:unhideWhenUsed/>
    <w:rsid w:val="00B7643E"/>
    <w:pPr>
      <w:spacing w:line="240" w:lineRule="auto"/>
    </w:pPr>
    <w:rPr>
      <w:sz w:val="20"/>
      <w:szCs w:val="20"/>
    </w:rPr>
  </w:style>
  <w:style w:type="character" w:customStyle="1" w:styleId="CommentTextChar">
    <w:name w:val="Comment Text Char"/>
    <w:basedOn w:val="DefaultParagraphFont"/>
    <w:link w:val="CommentText"/>
    <w:uiPriority w:val="99"/>
    <w:rsid w:val="00B7643E"/>
    <w:rPr>
      <w:sz w:val="20"/>
      <w:szCs w:val="20"/>
    </w:rPr>
  </w:style>
  <w:style w:type="paragraph" w:styleId="CommentSubject">
    <w:name w:val="annotation subject"/>
    <w:basedOn w:val="CommentText"/>
    <w:next w:val="CommentText"/>
    <w:link w:val="CommentSubjectChar"/>
    <w:uiPriority w:val="99"/>
    <w:semiHidden/>
    <w:unhideWhenUsed/>
    <w:rsid w:val="00B7643E"/>
    <w:rPr>
      <w:b/>
      <w:bCs/>
    </w:rPr>
  </w:style>
  <w:style w:type="character" w:customStyle="1" w:styleId="CommentSubjectChar">
    <w:name w:val="Comment Subject Char"/>
    <w:basedOn w:val="CommentTextChar"/>
    <w:link w:val="CommentSubject"/>
    <w:uiPriority w:val="99"/>
    <w:semiHidden/>
    <w:rsid w:val="00B76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B258-4BDD-49E3-A2D2-C63A5A09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Love</dc:creator>
  <cp:keywords/>
  <dc:description/>
  <cp:lastModifiedBy>Justin Gillfeather</cp:lastModifiedBy>
  <cp:revision>2</cp:revision>
  <cp:lastPrinted>2022-10-25T22:46:00Z</cp:lastPrinted>
  <dcterms:created xsi:type="dcterms:W3CDTF">2022-11-01T02:43:00Z</dcterms:created>
  <dcterms:modified xsi:type="dcterms:W3CDTF">2022-11-01T02:43:00Z</dcterms:modified>
</cp:coreProperties>
</file>