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21F7" w14:textId="36246F69" w:rsidR="00484FE1" w:rsidRDefault="00484FE1" w:rsidP="00484FE1">
      <w:pPr>
        <w:spacing w:after="43" w:line="254" w:lineRule="auto"/>
        <w:jc w:val="left"/>
        <w:rPr>
          <w:rFonts w:ascii="Arial Rounded MT Bold" w:hAnsi="Arial Rounded MT Bold" w:cs="Aharoni"/>
          <w:b/>
          <w:noProof/>
          <w:color w:val="7F7F7F" w:themeColor="text1" w:themeTint="80"/>
          <w:sz w:val="40"/>
          <w:szCs w:val="40"/>
          <w:lang w:eastAsia="zh-CN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6D269B" wp14:editId="7094365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33475" cy="1133475"/>
            <wp:effectExtent l="0" t="0" r="0" b="0"/>
            <wp:wrapTight wrapText="largest">
              <wp:wrapPolygon edited="0">
                <wp:start x="2541" y="2541"/>
                <wp:lineTo x="2541" y="18877"/>
                <wp:lineTo x="18877" y="18877"/>
                <wp:lineTo x="18877" y="2541"/>
                <wp:lineTo x="2541" y="2541"/>
              </wp:wrapPolygon>
            </wp:wrapTight>
            <wp:docPr id="5" name="Graphic 5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eastAsia="Gulim" w:hAnsi="Arial Rounded MT Bold" w:cs="Aharoni"/>
          <w:b/>
          <w:color w:val="7F7F7F" w:themeColor="text1" w:themeTint="80"/>
          <w:sz w:val="40"/>
          <w:szCs w:val="40"/>
        </w:rPr>
        <w:br/>
        <w:t>I</w:t>
      </w:r>
      <w:bookmarkStart w:id="0" w:name="_Hlk53488807"/>
      <w:r>
        <w:rPr>
          <w:rFonts w:ascii="Arial Rounded MT Bold" w:eastAsia="Gulim" w:hAnsi="Arial Rounded MT Bold" w:cs="Aharoni"/>
          <w:b/>
          <w:color w:val="7F7F7F" w:themeColor="text1" w:themeTint="80"/>
          <w:sz w:val="40"/>
          <w:szCs w:val="40"/>
        </w:rPr>
        <w:t>BOR TRANSFORMATION</w:t>
      </w:r>
      <w:r>
        <w:rPr>
          <w:rFonts w:ascii="Arial Rounded MT Bold" w:eastAsia="Gulim" w:hAnsi="Arial Rounded MT Bold" w:cs="Aharoni"/>
          <w:b/>
          <w:color w:val="7F7F7F" w:themeColor="text1" w:themeTint="80"/>
          <w:sz w:val="40"/>
          <w:szCs w:val="40"/>
        </w:rPr>
        <w:br/>
        <w:t>AUSTRALIAN WORKING GROUP</w:t>
      </w:r>
    </w:p>
    <w:bookmarkEnd w:id="0"/>
    <w:p w14:paraId="0C3A0CA0" w14:textId="64DBA906" w:rsidR="00843097" w:rsidRDefault="00843097" w:rsidP="007E2915"/>
    <w:p w14:paraId="51ED469B" w14:textId="344BF01D" w:rsidR="00DB035F" w:rsidRPr="009B5293" w:rsidRDefault="00AD48C7" w:rsidP="007E2915">
      <w:pPr>
        <w:pStyle w:val="Heading3"/>
      </w:pPr>
      <w:r>
        <w:t>STATEMENT</w:t>
      </w:r>
    </w:p>
    <w:p w14:paraId="16BA9B67" w14:textId="77777777" w:rsidR="00DB035F" w:rsidRDefault="00DB035F" w:rsidP="00F77952">
      <w:pPr>
        <w:spacing w:line="240" w:lineRule="auto"/>
      </w:pPr>
    </w:p>
    <w:p w14:paraId="77058DF8" w14:textId="08095C3B" w:rsidR="00C45FFB" w:rsidRDefault="00E3021E" w:rsidP="00E3021E">
      <w:pPr>
        <w:pStyle w:val="Heading4"/>
        <w:spacing w:line="240" w:lineRule="auto"/>
        <w:jc w:val="center"/>
        <w:rPr>
          <w:rFonts w:cs="Arial"/>
          <w:iCs/>
          <w:sz w:val="24"/>
        </w:rPr>
      </w:pPr>
      <w:r>
        <w:rPr>
          <w:rFonts w:cs="Arial"/>
          <w:iCs/>
          <w:sz w:val="24"/>
        </w:rPr>
        <w:t>USD LIBOR Cessation</w:t>
      </w:r>
    </w:p>
    <w:p w14:paraId="62470AAC" w14:textId="71365FC9" w:rsidR="00DB035F" w:rsidRDefault="0036583C" w:rsidP="00F77952">
      <w:pPr>
        <w:pStyle w:val="Heading4"/>
        <w:spacing w:line="240" w:lineRule="auto"/>
      </w:pPr>
      <w:r>
        <w:t>9 June 2023</w:t>
      </w:r>
    </w:p>
    <w:p w14:paraId="5A715D12" w14:textId="79D19E48" w:rsidR="00D875D7" w:rsidRPr="00B26E79" w:rsidRDefault="00D875D7" w:rsidP="00F77952">
      <w:pPr>
        <w:spacing w:line="240" w:lineRule="auto"/>
        <w:rPr>
          <w:szCs w:val="22"/>
        </w:rPr>
      </w:pPr>
    </w:p>
    <w:p w14:paraId="2115B4E6" w14:textId="0A8D2990" w:rsidR="00E3021E" w:rsidRDefault="00E3021E" w:rsidP="00E3021E">
      <w:pPr>
        <w:spacing w:before="120" w:line="276" w:lineRule="auto"/>
      </w:pPr>
      <w:r w:rsidRPr="00A22D75">
        <w:t xml:space="preserve">The U.S. Dollar LIBOR panel will cease </w:t>
      </w:r>
      <w:r>
        <w:t xml:space="preserve">on 30 </w:t>
      </w:r>
      <w:r w:rsidRPr="00A22D75">
        <w:t>June 2023.</w:t>
      </w:r>
      <w:r>
        <w:t xml:space="preserve"> This means that in a matter of weeks, LIBOR will cease as a representative rate.  </w:t>
      </w:r>
    </w:p>
    <w:p w14:paraId="58C9AA61" w14:textId="77777777" w:rsidR="00E3021E" w:rsidRDefault="00E3021E" w:rsidP="00E3021E">
      <w:pPr>
        <w:spacing w:before="120" w:line="276" w:lineRule="auto"/>
      </w:pPr>
      <w:r w:rsidRPr="00EE7119">
        <w:t>The 30 June milestone marks the final chapter in the process that began in 2017, to remove reliance on unsustainable LIBOR rates and build a more robust foundation for the financial system.</w:t>
      </w:r>
    </w:p>
    <w:p w14:paraId="4B9A2860" w14:textId="77777777" w:rsidR="00E3021E" w:rsidRPr="001A70E6" w:rsidRDefault="00E3021E" w:rsidP="00E3021E">
      <w:pPr>
        <w:spacing w:before="120" w:line="276" w:lineRule="auto"/>
      </w:pPr>
      <w:r w:rsidRPr="001A70E6">
        <w:t>Ahead of the 30 June 2023 deadline, market participants must be prepared for the following:</w:t>
      </w:r>
    </w:p>
    <w:p w14:paraId="740BBC3F" w14:textId="77777777" w:rsidR="00E3021E" w:rsidRPr="001A70E6" w:rsidRDefault="00E3021E" w:rsidP="00E3021E">
      <w:pPr>
        <w:pStyle w:val="ListParagraph"/>
        <w:numPr>
          <w:ilvl w:val="0"/>
          <w:numId w:val="42"/>
        </w:numPr>
        <w:spacing w:before="120" w:line="276" w:lineRule="auto"/>
        <w:contextualSpacing w:val="0"/>
        <w:jc w:val="left"/>
      </w:pPr>
      <w:r w:rsidRPr="001A70E6">
        <w:t>The overnight and 12 month-US dollar LIBOR settings will cease after final publication on 30 June 2023.</w:t>
      </w:r>
    </w:p>
    <w:p w14:paraId="0141A0C5" w14:textId="77777777" w:rsidR="00E3021E" w:rsidRPr="001A70E6" w:rsidRDefault="00E3021E" w:rsidP="00E3021E">
      <w:pPr>
        <w:pStyle w:val="ListParagraph"/>
        <w:numPr>
          <w:ilvl w:val="0"/>
          <w:numId w:val="42"/>
        </w:numPr>
        <w:spacing w:before="120" w:line="276" w:lineRule="auto"/>
        <w:contextualSpacing w:val="0"/>
        <w:jc w:val="left"/>
      </w:pPr>
      <w:r w:rsidRPr="001A70E6">
        <w:t>The 1-, 3-, and 6-month US dollar LIBOR settings will be published in synthetic form from 3 July 2023 until end-September 2024, for use in legacy contracts only (other than in cleared derivatives).</w:t>
      </w:r>
    </w:p>
    <w:p w14:paraId="4DC15DFD" w14:textId="77777777" w:rsidR="00E3021E" w:rsidRPr="001A70E6" w:rsidRDefault="00E3021E" w:rsidP="00E3021E">
      <w:pPr>
        <w:pStyle w:val="ListParagraph"/>
        <w:numPr>
          <w:ilvl w:val="0"/>
          <w:numId w:val="42"/>
        </w:numPr>
        <w:spacing w:before="120" w:line="276" w:lineRule="auto"/>
        <w:contextualSpacing w:val="0"/>
        <w:jc w:val="left"/>
      </w:pPr>
      <w:r w:rsidRPr="001A70E6">
        <w:t xml:space="preserve">All new use of these remaining US dollar LIBOR settings will be prohibited. </w:t>
      </w:r>
    </w:p>
    <w:p w14:paraId="0E3F8423" w14:textId="7140C012" w:rsidR="00E3021E" w:rsidRDefault="00E3021E" w:rsidP="00E3021E">
      <w:pPr>
        <w:spacing w:before="120" w:line="276" w:lineRule="auto"/>
      </w:pPr>
      <w:r>
        <w:t xml:space="preserve">In a recent </w:t>
      </w:r>
      <w:hyperlink r:id="rId10" w:history="1">
        <w:r w:rsidRPr="00A920F1">
          <w:rPr>
            <w:rStyle w:val="Hyperlink"/>
          </w:rPr>
          <w:t>statement</w:t>
        </w:r>
      </w:hyperlink>
      <w:r>
        <w:t xml:space="preserve">, the New York Fed’s Alternative Reference Rates Committee (ARRC) </w:t>
      </w:r>
      <w:r w:rsidRPr="00A920F1">
        <w:t>emphasised</w:t>
      </w:r>
      <w:r>
        <w:t xml:space="preserve"> that: </w:t>
      </w:r>
    </w:p>
    <w:p w14:paraId="35BCEDC2" w14:textId="78CCD3BE" w:rsidR="00E3021E" w:rsidRDefault="00E3021E" w:rsidP="00E3021E">
      <w:pPr>
        <w:spacing w:before="120" w:line="276" w:lineRule="auto"/>
        <w:ind w:left="720"/>
        <w:rPr>
          <w:i/>
        </w:rPr>
      </w:pPr>
      <w:r>
        <w:rPr>
          <w:i/>
        </w:rPr>
        <w:t>…</w:t>
      </w:r>
      <w:r w:rsidRPr="0067783B">
        <w:rPr>
          <w:i/>
        </w:rPr>
        <w:t>firms should already be fully prepared for this imminent deadline; those with remaining e</w:t>
      </w:r>
      <w:r>
        <w:rPr>
          <w:i/>
        </w:rPr>
        <w:t xml:space="preserve">xposures </w:t>
      </w:r>
      <w:r w:rsidRPr="0067783B">
        <w:rPr>
          <w:i/>
        </w:rPr>
        <w:t>are urged to draw upon readily available transition tools now</w:t>
      </w:r>
      <w:r>
        <w:rPr>
          <w:i/>
        </w:rPr>
        <w:t xml:space="preserve">. </w:t>
      </w:r>
    </w:p>
    <w:p w14:paraId="2BFA0A6A" w14:textId="77777777" w:rsidR="00E3021E" w:rsidRPr="00854C9C" w:rsidRDefault="00E3021E" w:rsidP="00E3021E">
      <w:pPr>
        <w:spacing w:before="120" w:line="276" w:lineRule="auto"/>
      </w:pPr>
      <w:r w:rsidRPr="00854C9C">
        <w:t>Supervisory bodies have made it clear that the possible publication of synthetic USD LIBOR is not a reason to delay the transition of contracts from USD LIBOR to SOFR.</w:t>
      </w:r>
    </w:p>
    <w:p w14:paraId="326E3D4E" w14:textId="77777777" w:rsidR="00E3021E" w:rsidRDefault="00E3021E" w:rsidP="00E3021E">
      <w:pPr>
        <w:spacing w:before="120" w:line="276" w:lineRule="auto"/>
      </w:pPr>
      <w:r>
        <w:rPr>
          <w:i/>
        </w:rPr>
        <w:t xml:space="preserve">As we had previously </w:t>
      </w:r>
      <w:hyperlink r:id="rId11" w:history="1">
        <w:r w:rsidRPr="00CA02F7">
          <w:rPr>
            <w:rStyle w:val="Hyperlink"/>
            <w:i/>
          </w:rPr>
          <w:t>stated</w:t>
        </w:r>
      </w:hyperlink>
      <w:r>
        <w:rPr>
          <w:i/>
        </w:rPr>
        <w:t xml:space="preserve">: </w:t>
      </w:r>
    </w:p>
    <w:p w14:paraId="4A32A709" w14:textId="77777777" w:rsidR="00E3021E" w:rsidRPr="00E3021E" w:rsidRDefault="00E3021E" w:rsidP="00E3021E">
      <w:pPr>
        <w:spacing w:before="120" w:line="276" w:lineRule="auto"/>
        <w:ind w:left="720"/>
        <w:rPr>
          <w:i/>
          <w:iCs/>
        </w:rPr>
      </w:pPr>
      <w:r w:rsidRPr="00E3021E">
        <w:rPr>
          <w:i/>
          <w:iCs/>
        </w:rPr>
        <w:t xml:space="preserve">Unlike for LIBOR, regulators in Australia are not advocating a wholesale transition from BBSW to referencing the risk-free rate. In Australia’s case, this is the cash rate, also known as AONIA. Instead, Australia is taking a multi-rate approach whereby market participants should choose the reference rate that best suits the </w:t>
      </w:r>
      <w:proofErr w:type="gramStart"/>
      <w:r w:rsidRPr="00E3021E">
        <w:rPr>
          <w:i/>
          <w:iCs/>
        </w:rPr>
        <w:t>particular product</w:t>
      </w:r>
      <w:proofErr w:type="gramEnd"/>
      <w:r w:rsidRPr="00E3021E">
        <w:rPr>
          <w:i/>
          <w:iCs/>
        </w:rPr>
        <w:t xml:space="preserve"> and situation. </w:t>
      </w:r>
    </w:p>
    <w:p w14:paraId="0F60A446" w14:textId="77777777" w:rsidR="0036583C" w:rsidRPr="007308A3" w:rsidRDefault="0036583C" w:rsidP="0036583C">
      <w:pPr>
        <w:rPr>
          <w:color w:val="000000" w:themeColor="text1"/>
          <w:szCs w:val="22"/>
        </w:rPr>
      </w:pPr>
    </w:p>
    <w:p w14:paraId="0445B2F2" w14:textId="6A477C65" w:rsidR="00C45FFB" w:rsidRDefault="00C44820" w:rsidP="00AF0D0F">
      <w:r w:rsidRPr="00AD48C7">
        <w:t xml:space="preserve">For additional information on benchmark reform in the Australian context, visit </w:t>
      </w:r>
      <w:r w:rsidR="00133FCD">
        <w:t xml:space="preserve">the </w:t>
      </w:r>
      <w:hyperlink r:id="rId12" w:history="1">
        <w:r w:rsidR="00256B85" w:rsidRPr="00F83DA9">
          <w:rPr>
            <w:rStyle w:val="Hyperlink"/>
          </w:rPr>
          <w:t>ITAWG’s webpage</w:t>
        </w:r>
        <w:r w:rsidRPr="00F83DA9">
          <w:rPr>
            <w:rStyle w:val="Hyperlink"/>
          </w:rPr>
          <w:t>.</w:t>
        </w:r>
      </w:hyperlink>
    </w:p>
    <w:p w14:paraId="33943ECE" w14:textId="77777777" w:rsidR="00AD48C7" w:rsidRDefault="00AD48C7" w:rsidP="007E2915">
      <w:pPr>
        <w:spacing w:line="240" w:lineRule="auto"/>
        <w:rPr>
          <w:b/>
          <w:sz w:val="16"/>
          <w:szCs w:val="16"/>
        </w:rPr>
      </w:pPr>
    </w:p>
    <w:p w14:paraId="32669A33" w14:textId="71CB08CE" w:rsidR="00DB035F" w:rsidRPr="00B4451B" w:rsidRDefault="00DB035F" w:rsidP="007E2915">
      <w:pPr>
        <w:spacing w:line="240" w:lineRule="auto"/>
        <w:rPr>
          <w:b/>
          <w:sz w:val="16"/>
          <w:szCs w:val="16"/>
        </w:rPr>
      </w:pPr>
      <w:r w:rsidRPr="00B4451B">
        <w:rPr>
          <w:b/>
          <w:sz w:val="16"/>
          <w:szCs w:val="16"/>
        </w:rPr>
        <w:t>Notes</w:t>
      </w:r>
    </w:p>
    <w:p w14:paraId="253662E2" w14:textId="77777777" w:rsidR="00DB035F" w:rsidRPr="00B4451B" w:rsidRDefault="00DB035F" w:rsidP="007E2915">
      <w:pPr>
        <w:spacing w:line="240" w:lineRule="auto"/>
        <w:rPr>
          <w:sz w:val="16"/>
          <w:szCs w:val="16"/>
        </w:rPr>
      </w:pPr>
    </w:p>
    <w:p w14:paraId="646CD0A5" w14:textId="77719462" w:rsidR="00AD48C7" w:rsidRDefault="00484FE1" w:rsidP="00B01A11">
      <w:pPr>
        <w:spacing w:line="240" w:lineRule="auto"/>
        <w:rPr>
          <w:rFonts w:ascii="Calibri" w:hAnsi="Calibri"/>
        </w:rPr>
      </w:pPr>
      <w:r w:rsidRPr="00484FE1">
        <w:rPr>
          <w:b/>
          <w:sz w:val="18"/>
          <w:szCs w:val="20"/>
        </w:rPr>
        <w:t xml:space="preserve">The IBOR Transformation Australian Working Group is the national working group for considering the strategic issues facing Australia as the market is transformed by international developments </w:t>
      </w:r>
      <w:proofErr w:type="gramStart"/>
      <w:r w:rsidRPr="00484FE1">
        <w:rPr>
          <w:b/>
          <w:sz w:val="18"/>
          <w:szCs w:val="20"/>
        </w:rPr>
        <w:t>with regard to</w:t>
      </w:r>
      <w:proofErr w:type="gramEnd"/>
      <w:r w:rsidRPr="00484FE1">
        <w:rPr>
          <w:b/>
          <w:sz w:val="18"/>
          <w:szCs w:val="20"/>
        </w:rPr>
        <w:t xml:space="preserve"> IBOR transition and leading work on domestic responses to the change.</w:t>
      </w:r>
    </w:p>
    <w:p w14:paraId="4D3BFDE7" w14:textId="77777777" w:rsidR="00BE2E6A" w:rsidRPr="00CF09AF" w:rsidRDefault="00BE2E6A" w:rsidP="007E2915">
      <w:pPr>
        <w:tabs>
          <w:tab w:val="left" w:pos="6225"/>
        </w:tabs>
      </w:pPr>
    </w:p>
    <w:sectPr w:rsidR="00BE2E6A" w:rsidRPr="00CF09AF" w:rsidSect="00D30A16">
      <w:footerReference w:type="default" r:id="rId13"/>
      <w:headerReference w:type="first" r:id="rId14"/>
      <w:footerReference w:type="first" r:id="rId15"/>
      <w:pgSz w:w="11906" w:h="16838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86E1" w14:textId="77777777" w:rsidR="002A293E" w:rsidRDefault="002A293E">
      <w:r>
        <w:separator/>
      </w:r>
    </w:p>
  </w:endnote>
  <w:endnote w:type="continuationSeparator" w:id="0">
    <w:p w14:paraId="35AD850B" w14:textId="77777777" w:rsidR="002A293E" w:rsidRDefault="002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1E66" w14:textId="16F64FF4" w:rsidR="000B7020" w:rsidRPr="000E58BD" w:rsidRDefault="001C2F35" w:rsidP="000E58BD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3E60D7" wp14:editId="6EDBFC1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4a440d08acd0c67b5c00822" descr="{&quot;HashCode&quot;:3737493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65D4" w14:textId="7CF3E679" w:rsidR="001C2F35" w:rsidRPr="001C2F35" w:rsidRDefault="002D42D6" w:rsidP="001C2F35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E60D7" id="_x0000_t202" coordsize="21600,21600" o:spt="202" path="m,l,21600r21600,l21600,xe">
              <v:stroke joinstyle="miter"/>
              <v:path gradientshapeok="t" o:connecttype="rect"/>
            </v:shapetype>
            <v:shape id="MSIPCM24a440d08acd0c67b5c00822" o:spid="_x0000_s1026" type="#_x0000_t202" alt="{&quot;HashCode&quot;:37374937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76E65D4" w14:textId="7CF3E679" w:rsidR="001C2F35" w:rsidRPr="001C2F35" w:rsidRDefault="002D42D6" w:rsidP="001C2F35">
                    <w:pPr>
                      <w:jc w:val="left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7020" w:rsidRPr="000E58BD">
      <w:t xml:space="preserve">Page </w:t>
    </w:r>
    <w:r w:rsidR="00F45CCA">
      <w:fldChar w:fldCharType="begin"/>
    </w:r>
    <w:r w:rsidR="00F45CCA">
      <w:instrText xml:space="preserve"> PAGE </w:instrText>
    </w:r>
    <w:r w:rsidR="00F45CCA">
      <w:fldChar w:fldCharType="separate"/>
    </w:r>
    <w:r w:rsidR="003F05EC">
      <w:rPr>
        <w:noProof/>
      </w:rPr>
      <w:t>2</w:t>
    </w:r>
    <w:r w:rsidR="00F45CCA">
      <w:rPr>
        <w:noProof/>
      </w:rPr>
      <w:fldChar w:fldCharType="end"/>
    </w:r>
    <w:r w:rsidR="000B7020" w:rsidRPr="000E58BD">
      <w:t xml:space="preserve"> of </w:t>
    </w:r>
    <w:r w:rsidR="00F45CCA">
      <w:fldChar w:fldCharType="begin"/>
    </w:r>
    <w:r w:rsidR="00F45CCA">
      <w:instrText xml:space="preserve"> NUMPAGES  </w:instrText>
    </w:r>
    <w:r w:rsidR="00F45CCA">
      <w:fldChar w:fldCharType="separate"/>
    </w:r>
    <w:r w:rsidR="003F05EC">
      <w:rPr>
        <w:noProof/>
      </w:rPr>
      <w:t>2</w:t>
    </w:r>
    <w:r w:rsidR="00F45CC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4BDD" w14:textId="4343A7D7" w:rsidR="00484FE1" w:rsidRDefault="00484FE1" w:rsidP="00DB035F">
    <w:pPr>
      <w:pStyle w:val="Footer"/>
      <w:rPr>
        <w:b/>
      </w:rPr>
    </w:pPr>
    <w:r w:rsidRPr="00484FE1">
      <w:rPr>
        <w:b/>
      </w:rPr>
      <w:t xml:space="preserve">IBOR Transformation Australian Work Group </w:t>
    </w:r>
    <w:r>
      <w:rPr>
        <w:b/>
      </w:rPr>
      <w:t>Secretariat</w:t>
    </w:r>
  </w:p>
  <w:p w14:paraId="29B6B56D" w14:textId="78B6E767" w:rsidR="000B7020" w:rsidRDefault="000B7020" w:rsidP="00DB035F">
    <w:pPr>
      <w:pStyle w:val="Footer"/>
    </w:pPr>
    <w:r>
      <w:t>Level</w:t>
    </w:r>
    <w:r w:rsidR="007A5E11">
      <w:t xml:space="preserve"> 25, Angel Place, 123 Pitt Street Sydney</w:t>
    </w:r>
  </w:p>
  <w:p w14:paraId="615AE98B" w14:textId="30D57FF6" w:rsidR="000B7020" w:rsidRDefault="000B7020" w:rsidP="00DB035F">
    <w:pPr>
      <w:pStyle w:val="Footer"/>
    </w:pPr>
    <w:r>
      <w:t>Tel: +61 2 9776 79</w:t>
    </w:r>
    <w:r w:rsidR="00963A60">
      <w:t>95</w:t>
    </w:r>
    <w:r>
      <w:t xml:space="preserve">  Fax: +61 2 9776 4488</w:t>
    </w:r>
  </w:p>
  <w:p w14:paraId="77BE5641" w14:textId="417EEF5C" w:rsidR="000B7020" w:rsidRPr="004E6D3A" w:rsidRDefault="000B7020" w:rsidP="00DB035F">
    <w:pPr>
      <w:pStyle w:val="Footer"/>
    </w:pPr>
    <w:r>
      <w:t xml:space="preserve">Email: </w:t>
    </w:r>
    <w:r w:rsidR="00963A60">
      <w:t>dlove</w:t>
    </w:r>
    <w:r w:rsidR="00C035ED" w:rsidRPr="004E6D3A">
      <w:t>@afma.com.au</w:t>
    </w:r>
  </w:p>
  <w:p w14:paraId="5BFFF6DE" w14:textId="7CA3E8E2" w:rsidR="000B7020" w:rsidRDefault="001C2F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2A3105" wp14:editId="14FDC5E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1ac434085e4720934c206d3" descr="{&quot;HashCode&quot;:37374937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48BE7" w14:textId="5D406792" w:rsidR="001C2F35" w:rsidRPr="001C2F35" w:rsidRDefault="002D42D6" w:rsidP="001C2F35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A3105" id="_x0000_t202" coordsize="21600,21600" o:spt="202" path="m,l,21600r21600,l21600,xe">
              <v:stroke joinstyle="miter"/>
              <v:path gradientshapeok="t" o:connecttype="rect"/>
            </v:shapetype>
            <v:shape id="MSIPCM91ac434085e4720934c206d3" o:spid="_x0000_s1027" type="#_x0000_t202" alt="{&quot;HashCode&quot;:373749371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46648BE7" w14:textId="5D406792" w:rsidR="001C2F35" w:rsidRPr="001C2F35" w:rsidRDefault="002D42D6" w:rsidP="001C2F35">
                    <w:pPr>
                      <w:jc w:val="left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499A" w14:textId="77777777" w:rsidR="002A293E" w:rsidRDefault="002A293E">
      <w:r>
        <w:separator/>
      </w:r>
    </w:p>
  </w:footnote>
  <w:footnote w:type="continuationSeparator" w:id="0">
    <w:p w14:paraId="16F82834" w14:textId="77777777" w:rsidR="002A293E" w:rsidRDefault="002A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5A73" w14:textId="1570A4BE" w:rsidR="00BC3C3B" w:rsidRDefault="00BC3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624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CE6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4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4E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50D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02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F4A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6E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8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DEB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23CC"/>
    <w:multiLevelType w:val="hybridMultilevel"/>
    <w:tmpl w:val="286CF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E0858"/>
    <w:multiLevelType w:val="multilevel"/>
    <w:tmpl w:val="86B68E52"/>
    <w:numStyleLink w:val="111111"/>
  </w:abstractNum>
  <w:abstractNum w:abstractNumId="12" w15:restartNumberingAfterBreak="0">
    <w:nsid w:val="08606E17"/>
    <w:multiLevelType w:val="hybridMultilevel"/>
    <w:tmpl w:val="5A249C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609EB"/>
    <w:multiLevelType w:val="multilevel"/>
    <w:tmpl w:val="86B68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ascii="Verdana" w:hAnsi="Verdan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Verdana" w:hAnsi="Verdan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Verdana" w:hAnsi="Verdan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38" w:hanging="1438"/>
      </w:pPr>
      <w:rPr>
        <w:rFonts w:ascii="Verdana" w:hAnsi="Verdan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58" w:hanging="1798"/>
      </w:pPr>
      <w:rPr>
        <w:rFonts w:ascii="Verdana" w:hAnsi="Verdan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78" w:hanging="2158"/>
      </w:pPr>
      <w:rPr>
        <w:rFonts w:ascii="Verdana" w:hAnsi="Verdan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1" w:hanging="2161"/>
      </w:pPr>
      <w:rPr>
        <w:rFonts w:ascii="Verdana" w:hAnsi="Verdana" w:hint="default"/>
        <w:b/>
        <w:sz w:val="20"/>
      </w:rPr>
    </w:lvl>
  </w:abstractNum>
  <w:abstractNum w:abstractNumId="14" w15:restartNumberingAfterBreak="0">
    <w:nsid w:val="0F87576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5201F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8668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45143A"/>
    <w:multiLevelType w:val="hybridMultilevel"/>
    <w:tmpl w:val="A4024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D7969"/>
    <w:multiLevelType w:val="hybridMultilevel"/>
    <w:tmpl w:val="5560D5F2"/>
    <w:lvl w:ilvl="0" w:tplc="73760A6C">
      <w:numFmt w:val="bullet"/>
      <w:lvlText w:val="·"/>
      <w:lvlJc w:val="left"/>
      <w:pPr>
        <w:ind w:left="1740" w:hanging="13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07060"/>
    <w:multiLevelType w:val="hybridMultilevel"/>
    <w:tmpl w:val="D6923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D5E1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/>
        <w:b/>
        <w:sz w:val="20"/>
      </w:rPr>
    </w:lvl>
  </w:abstractNum>
  <w:abstractNum w:abstractNumId="21" w15:restartNumberingAfterBreak="0">
    <w:nsid w:val="28CE24A0"/>
    <w:multiLevelType w:val="hybridMultilevel"/>
    <w:tmpl w:val="80887176"/>
    <w:lvl w:ilvl="0" w:tplc="7CDA5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A30C8"/>
    <w:multiLevelType w:val="hybridMultilevel"/>
    <w:tmpl w:val="1F6A8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D4DD5"/>
    <w:multiLevelType w:val="hybridMultilevel"/>
    <w:tmpl w:val="37B22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F0440"/>
    <w:multiLevelType w:val="hybridMultilevel"/>
    <w:tmpl w:val="6966E932"/>
    <w:lvl w:ilvl="0" w:tplc="73760A6C">
      <w:numFmt w:val="bullet"/>
      <w:lvlText w:val="·"/>
      <w:lvlJc w:val="left"/>
      <w:pPr>
        <w:ind w:left="2100" w:hanging="13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D05A21"/>
    <w:multiLevelType w:val="hybridMultilevel"/>
    <w:tmpl w:val="D2EE92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200E2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80C3213"/>
    <w:multiLevelType w:val="multilevel"/>
    <w:tmpl w:val="86B68E52"/>
    <w:numStyleLink w:val="111111"/>
  </w:abstractNum>
  <w:abstractNum w:abstractNumId="28" w15:restartNumberingAfterBreak="0">
    <w:nsid w:val="575A6558"/>
    <w:multiLevelType w:val="hybridMultilevel"/>
    <w:tmpl w:val="6FD85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762BB"/>
    <w:multiLevelType w:val="multilevel"/>
    <w:tmpl w:val="86B68E52"/>
    <w:numStyleLink w:val="111111"/>
  </w:abstractNum>
  <w:abstractNum w:abstractNumId="30" w15:restartNumberingAfterBreak="0">
    <w:nsid w:val="5BAF1951"/>
    <w:multiLevelType w:val="hybridMultilevel"/>
    <w:tmpl w:val="F8FA2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5788A"/>
    <w:multiLevelType w:val="multilevel"/>
    <w:tmpl w:val="86B68E5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ascii="Verdana" w:hAnsi="Verdan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Verdana" w:hAnsi="Verdan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Verdana" w:hAnsi="Verdan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38" w:hanging="1438"/>
      </w:pPr>
      <w:rPr>
        <w:rFonts w:ascii="Verdana" w:hAnsi="Verdan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58" w:hanging="1798"/>
      </w:pPr>
      <w:rPr>
        <w:rFonts w:ascii="Verdana" w:hAnsi="Verdan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78" w:hanging="2158"/>
      </w:pPr>
      <w:rPr>
        <w:rFonts w:ascii="Verdana" w:hAnsi="Verdan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1" w:hanging="2161"/>
      </w:pPr>
      <w:rPr>
        <w:rFonts w:ascii="Verdana" w:hAnsi="Verdana" w:hint="default"/>
        <w:b/>
        <w:sz w:val="20"/>
      </w:rPr>
    </w:lvl>
  </w:abstractNum>
  <w:abstractNum w:abstractNumId="32" w15:restartNumberingAfterBreak="0">
    <w:nsid w:val="5F7B4C71"/>
    <w:multiLevelType w:val="hybridMultilevel"/>
    <w:tmpl w:val="9AF64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00F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/>
        <w:b/>
        <w:sz w:val="20"/>
      </w:rPr>
    </w:lvl>
  </w:abstractNum>
  <w:abstractNum w:abstractNumId="34" w15:restartNumberingAfterBreak="0">
    <w:nsid w:val="6D511908"/>
    <w:multiLevelType w:val="hybridMultilevel"/>
    <w:tmpl w:val="0F442186"/>
    <w:lvl w:ilvl="0" w:tplc="7CDA5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A0C9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8536A76"/>
    <w:multiLevelType w:val="hybridMultilevel"/>
    <w:tmpl w:val="E96A2AA6"/>
    <w:lvl w:ilvl="0" w:tplc="73760A6C">
      <w:numFmt w:val="bullet"/>
      <w:lvlText w:val="·"/>
      <w:lvlJc w:val="left"/>
      <w:pPr>
        <w:ind w:left="1740" w:hanging="13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172F"/>
    <w:multiLevelType w:val="multilevel"/>
    <w:tmpl w:val="86B68E52"/>
    <w:numStyleLink w:val="111111"/>
  </w:abstractNum>
  <w:abstractNum w:abstractNumId="38" w15:restartNumberingAfterBreak="0">
    <w:nsid w:val="7A393EB0"/>
    <w:multiLevelType w:val="hybridMultilevel"/>
    <w:tmpl w:val="73E80884"/>
    <w:lvl w:ilvl="0" w:tplc="73760A6C">
      <w:numFmt w:val="bullet"/>
      <w:lvlText w:val="·"/>
      <w:lvlJc w:val="left"/>
      <w:pPr>
        <w:ind w:left="1740" w:hanging="13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B3476"/>
    <w:multiLevelType w:val="hybridMultilevel"/>
    <w:tmpl w:val="ABEA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74DD3"/>
    <w:multiLevelType w:val="multilevel"/>
    <w:tmpl w:val="9FC258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C16E80"/>
    <w:multiLevelType w:val="multilevel"/>
    <w:tmpl w:val="86B68E52"/>
    <w:numStyleLink w:val="111111"/>
  </w:abstractNum>
  <w:num w:numId="1" w16cid:durableId="1693149349">
    <w:abstractNumId w:val="35"/>
  </w:num>
  <w:num w:numId="2" w16cid:durableId="362442777">
    <w:abstractNumId w:val="14"/>
  </w:num>
  <w:num w:numId="3" w16cid:durableId="1091899186">
    <w:abstractNumId w:val="26"/>
  </w:num>
  <w:num w:numId="4" w16cid:durableId="125511589">
    <w:abstractNumId w:val="33"/>
  </w:num>
  <w:num w:numId="5" w16cid:durableId="1233156129">
    <w:abstractNumId w:val="20"/>
  </w:num>
  <w:num w:numId="6" w16cid:durableId="944310808">
    <w:abstractNumId w:val="16"/>
  </w:num>
  <w:num w:numId="7" w16cid:durableId="392434262">
    <w:abstractNumId w:val="9"/>
  </w:num>
  <w:num w:numId="8" w16cid:durableId="1043942934">
    <w:abstractNumId w:val="7"/>
  </w:num>
  <w:num w:numId="9" w16cid:durableId="1497116398">
    <w:abstractNumId w:val="6"/>
  </w:num>
  <w:num w:numId="10" w16cid:durableId="1560436706">
    <w:abstractNumId w:val="5"/>
  </w:num>
  <w:num w:numId="11" w16cid:durableId="760637174">
    <w:abstractNumId w:val="4"/>
  </w:num>
  <w:num w:numId="12" w16cid:durableId="400178703">
    <w:abstractNumId w:val="8"/>
  </w:num>
  <w:num w:numId="13" w16cid:durableId="1576279566">
    <w:abstractNumId w:val="3"/>
  </w:num>
  <w:num w:numId="14" w16cid:durableId="1055739177">
    <w:abstractNumId w:val="2"/>
  </w:num>
  <w:num w:numId="15" w16cid:durableId="1335497319">
    <w:abstractNumId w:val="1"/>
  </w:num>
  <w:num w:numId="16" w16cid:durableId="1478569519">
    <w:abstractNumId w:val="0"/>
  </w:num>
  <w:num w:numId="17" w16cid:durableId="2080639499">
    <w:abstractNumId w:val="31"/>
  </w:num>
  <w:num w:numId="18" w16cid:durableId="2113159763">
    <w:abstractNumId w:val="29"/>
  </w:num>
  <w:num w:numId="19" w16cid:durableId="109856421">
    <w:abstractNumId w:val="27"/>
  </w:num>
  <w:num w:numId="20" w16cid:durableId="1863547189">
    <w:abstractNumId w:val="11"/>
  </w:num>
  <w:num w:numId="21" w16cid:durableId="991639592">
    <w:abstractNumId w:val="41"/>
  </w:num>
  <w:num w:numId="22" w16cid:durableId="196938461">
    <w:abstractNumId w:val="37"/>
  </w:num>
  <w:num w:numId="23" w16cid:durableId="1171986627">
    <w:abstractNumId w:val="13"/>
  </w:num>
  <w:num w:numId="24" w16cid:durableId="76949120">
    <w:abstractNumId w:val="40"/>
  </w:num>
  <w:num w:numId="25" w16cid:durableId="2021003661">
    <w:abstractNumId w:val="15"/>
  </w:num>
  <w:num w:numId="26" w16cid:durableId="717513292">
    <w:abstractNumId w:val="22"/>
  </w:num>
  <w:num w:numId="27" w16cid:durableId="1181578277">
    <w:abstractNumId w:val="39"/>
  </w:num>
  <w:num w:numId="28" w16cid:durableId="274362458">
    <w:abstractNumId w:val="18"/>
  </w:num>
  <w:num w:numId="29" w16cid:durableId="495805283">
    <w:abstractNumId w:val="24"/>
  </w:num>
  <w:num w:numId="30" w16cid:durableId="1603344980">
    <w:abstractNumId w:val="38"/>
  </w:num>
  <w:num w:numId="31" w16cid:durableId="966396619">
    <w:abstractNumId w:val="36"/>
  </w:num>
  <w:num w:numId="32" w16cid:durableId="2030451150">
    <w:abstractNumId w:val="10"/>
  </w:num>
  <w:num w:numId="33" w16cid:durableId="471753556">
    <w:abstractNumId w:val="30"/>
  </w:num>
  <w:num w:numId="34" w16cid:durableId="2100759668">
    <w:abstractNumId w:val="19"/>
  </w:num>
  <w:num w:numId="35" w16cid:durableId="1590847216">
    <w:abstractNumId w:val="21"/>
  </w:num>
  <w:num w:numId="36" w16cid:durableId="414402593">
    <w:abstractNumId w:val="34"/>
  </w:num>
  <w:num w:numId="37" w16cid:durableId="1871650853">
    <w:abstractNumId w:val="12"/>
  </w:num>
  <w:num w:numId="38" w16cid:durableId="169608105">
    <w:abstractNumId w:val="25"/>
  </w:num>
  <w:num w:numId="39" w16cid:durableId="1263033188">
    <w:abstractNumId w:val="23"/>
  </w:num>
  <w:num w:numId="40" w16cid:durableId="214783132">
    <w:abstractNumId w:val="32"/>
  </w:num>
  <w:num w:numId="41" w16cid:durableId="1276400359">
    <w:abstractNumId w:val="17"/>
  </w:num>
  <w:num w:numId="42" w16cid:durableId="5219411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D9"/>
    <w:rsid w:val="0001483E"/>
    <w:rsid w:val="00014E65"/>
    <w:rsid w:val="00020899"/>
    <w:rsid w:val="00022119"/>
    <w:rsid w:val="000243F3"/>
    <w:rsid w:val="000266B0"/>
    <w:rsid w:val="00055ADB"/>
    <w:rsid w:val="0008563E"/>
    <w:rsid w:val="0008674F"/>
    <w:rsid w:val="0009366D"/>
    <w:rsid w:val="00096942"/>
    <w:rsid w:val="000A6DB0"/>
    <w:rsid w:val="000B5A5B"/>
    <w:rsid w:val="000B60FF"/>
    <w:rsid w:val="000B7020"/>
    <w:rsid w:val="000C06E8"/>
    <w:rsid w:val="000C5B90"/>
    <w:rsid w:val="000D2B57"/>
    <w:rsid w:val="000D2D04"/>
    <w:rsid w:val="000D4FE0"/>
    <w:rsid w:val="000D6B04"/>
    <w:rsid w:val="000E101E"/>
    <w:rsid w:val="000E58BD"/>
    <w:rsid w:val="000E639D"/>
    <w:rsid w:val="000F30D3"/>
    <w:rsid w:val="000F45DD"/>
    <w:rsid w:val="001020E6"/>
    <w:rsid w:val="00104880"/>
    <w:rsid w:val="00117335"/>
    <w:rsid w:val="00130C57"/>
    <w:rsid w:val="00133FCD"/>
    <w:rsid w:val="00136E44"/>
    <w:rsid w:val="00151E77"/>
    <w:rsid w:val="00156CFC"/>
    <w:rsid w:val="00157188"/>
    <w:rsid w:val="00165B6D"/>
    <w:rsid w:val="00165EEE"/>
    <w:rsid w:val="00166215"/>
    <w:rsid w:val="00170E34"/>
    <w:rsid w:val="001817FD"/>
    <w:rsid w:val="001862DB"/>
    <w:rsid w:val="00194672"/>
    <w:rsid w:val="001A18EE"/>
    <w:rsid w:val="001A32B8"/>
    <w:rsid w:val="001A63E7"/>
    <w:rsid w:val="001B0101"/>
    <w:rsid w:val="001B3DAB"/>
    <w:rsid w:val="001B4A27"/>
    <w:rsid w:val="001B4B59"/>
    <w:rsid w:val="001C2B8D"/>
    <w:rsid w:val="001C2F35"/>
    <w:rsid w:val="001D5273"/>
    <w:rsid w:val="001D66F8"/>
    <w:rsid w:val="001E41A4"/>
    <w:rsid w:val="001E5B5D"/>
    <w:rsid w:val="001E77D1"/>
    <w:rsid w:val="001F5000"/>
    <w:rsid w:val="001F793E"/>
    <w:rsid w:val="00200AB3"/>
    <w:rsid w:val="002044B3"/>
    <w:rsid w:val="00217852"/>
    <w:rsid w:val="00220DE1"/>
    <w:rsid w:val="0023260C"/>
    <w:rsid w:val="00244713"/>
    <w:rsid w:val="00244A9F"/>
    <w:rsid w:val="0025351A"/>
    <w:rsid w:val="0025377B"/>
    <w:rsid w:val="00256B85"/>
    <w:rsid w:val="00260D0D"/>
    <w:rsid w:val="00264FBF"/>
    <w:rsid w:val="00266C6B"/>
    <w:rsid w:val="0027781D"/>
    <w:rsid w:val="00283915"/>
    <w:rsid w:val="00283F4A"/>
    <w:rsid w:val="002A293E"/>
    <w:rsid w:val="002A623F"/>
    <w:rsid w:val="002B7D5F"/>
    <w:rsid w:val="002C7077"/>
    <w:rsid w:val="002D42D6"/>
    <w:rsid w:val="002D45D3"/>
    <w:rsid w:val="002D498D"/>
    <w:rsid w:val="002E2611"/>
    <w:rsid w:val="002F0CD7"/>
    <w:rsid w:val="002F3F1A"/>
    <w:rsid w:val="002F5F79"/>
    <w:rsid w:val="00304510"/>
    <w:rsid w:val="00311703"/>
    <w:rsid w:val="00313637"/>
    <w:rsid w:val="003166AD"/>
    <w:rsid w:val="00320107"/>
    <w:rsid w:val="00324A5C"/>
    <w:rsid w:val="00326624"/>
    <w:rsid w:val="00337B9D"/>
    <w:rsid w:val="00342231"/>
    <w:rsid w:val="00347DC3"/>
    <w:rsid w:val="00354DC0"/>
    <w:rsid w:val="00357D9E"/>
    <w:rsid w:val="00360A49"/>
    <w:rsid w:val="00361CD0"/>
    <w:rsid w:val="0036207E"/>
    <w:rsid w:val="0036583C"/>
    <w:rsid w:val="003704C9"/>
    <w:rsid w:val="003711A4"/>
    <w:rsid w:val="0037354B"/>
    <w:rsid w:val="00391E68"/>
    <w:rsid w:val="00395458"/>
    <w:rsid w:val="003B0C8C"/>
    <w:rsid w:val="003B71D1"/>
    <w:rsid w:val="003D6B20"/>
    <w:rsid w:val="003E0F3E"/>
    <w:rsid w:val="003F05EC"/>
    <w:rsid w:val="004063B8"/>
    <w:rsid w:val="00416DFE"/>
    <w:rsid w:val="00423120"/>
    <w:rsid w:val="004247BD"/>
    <w:rsid w:val="00441158"/>
    <w:rsid w:val="004440F3"/>
    <w:rsid w:val="00454582"/>
    <w:rsid w:val="004609F3"/>
    <w:rsid w:val="00463B06"/>
    <w:rsid w:val="00467D79"/>
    <w:rsid w:val="00472B8A"/>
    <w:rsid w:val="004754FA"/>
    <w:rsid w:val="00484A2F"/>
    <w:rsid w:val="00484FE1"/>
    <w:rsid w:val="00485FD9"/>
    <w:rsid w:val="004B4605"/>
    <w:rsid w:val="004B4AFF"/>
    <w:rsid w:val="004C384C"/>
    <w:rsid w:val="004C7D4F"/>
    <w:rsid w:val="004D0E30"/>
    <w:rsid w:val="004D195D"/>
    <w:rsid w:val="004E0E18"/>
    <w:rsid w:val="004E6D3A"/>
    <w:rsid w:val="004F43FD"/>
    <w:rsid w:val="00506DDA"/>
    <w:rsid w:val="00512072"/>
    <w:rsid w:val="00527C1F"/>
    <w:rsid w:val="00531602"/>
    <w:rsid w:val="00535E77"/>
    <w:rsid w:val="00536446"/>
    <w:rsid w:val="00573C8F"/>
    <w:rsid w:val="00596AC1"/>
    <w:rsid w:val="005B300C"/>
    <w:rsid w:val="005C2539"/>
    <w:rsid w:val="005C48FA"/>
    <w:rsid w:val="005C5409"/>
    <w:rsid w:val="005C7EFE"/>
    <w:rsid w:val="005D0C3C"/>
    <w:rsid w:val="005D0D62"/>
    <w:rsid w:val="005D1437"/>
    <w:rsid w:val="005E1C02"/>
    <w:rsid w:val="005E2EEC"/>
    <w:rsid w:val="005E4609"/>
    <w:rsid w:val="005F23FF"/>
    <w:rsid w:val="005F3FA2"/>
    <w:rsid w:val="005F631A"/>
    <w:rsid w:val="00606948"/>
    <w:rsid w:val="006100C3"/>
    <w:rsid w:val="006135B0"/>
    <w:rsid w:val="0061713A"/>
    <w:rsid w:val="00627880"/>
    <w:rsid w:val="00635E7D"/>
    <w:rsid w:val="006373C4"/>
    <w:rsid w:val="00647F50"/>
    <w:rsid w:val="00651D00"/>
    <w:rsid w:val="00654484"/>
    <w:rsid w:val="00654F1C"/>
    <w:rsid w:val="00655DD2"/>
    <w:rsid w:val="00660704"/>
    <w:rsid w:val="00664C8D"/>
    <w:rsid w:val="006846A6"/>
    <w:rsid w:val="006942BA"/>
    <w:rsid w:val="006A14DA"/>
    <w:rsid w:val="006A5A1B"/>
    <w:rsid w:val="006C47BE"/>
    <w:rsid w:val="006D615E"/>
    <w:rsid w:val="006E600D"/>
    <w:rsid w:val="006F0AB4"/>
    <w:rsid w:val="007075FC"/>
    <w:rsid w:val="00714168"/>
    <w:rsid w:val="00722690"/>
    <w:rsid w:val="00726365"/>
    <w:rsid w:val="007308A3"/>
    <w:rsid w:val="00730CE5"/>
    <w:rsid w:val="00731D1D"/>
    <w:rsid w:val="00741FFD"/>
    <w:rsid w:val="00743BF2"/>
    <w:rsid w:val="007709CF"/>
    <w:rsid w:val="0078117C"/>
    <w:rsid w:val="00782C52"/>
    <w:rsid w:val="00790E2C"/>
    <w:rsid w:val="00792E41"/>
    <w:rsid w:val="00795EA0"/>
    <w:rsid w:val="007A26E8"/>
    <w:rsid w:val="007A5E11"/>
    <w:rsid w:val="007B1C47"/>
    <w:rsid w:val="007B1CE5"/>
    <w:rsid w:val="007C31B5"/>
    <w:rsid w:val="007E2915"/>
    <w:rsid w:val="007E6A35"/>
    <w:rsid w:val="007E7B54"/>
    <w:rsid w:val="007F209A"/>
    <w:rsid w:val="007F360D"/>
    <w:rsid w:val="007F7D85"/>
    <w:rsid w:val="008026A4"/>
    <w:rsid w:val="00805F79"/>
    <w:rsid w:val="00824AB5"/>
    <w:rsid w:val="0083036E"/>
    <w:rsid w:val="00840D2B"/>
    <w:rsid w:val="00843097"/>
    <w:rsid w:val="008460EE"/>
    <w:rsid w:val="00846D38"/>
    <w:rsid w:val="00854ECD"/>
    <w:rsid w:val="008574EC"/>
    <w:rsid w:val="00870AFA"/>
    <w:rsid w:val="0087703F"/>
    <w:rsid w:val="00877438"/>
    <w:rsid w:val="00883F77"/>
    <w:rsid w:val="008840CA"/>
    <w:rsid w:val="00886602"/>
    <w:rsid w:val="0088688F"/>
    <w:rsid w:val="008928ED"/>
    <w:rsid w:val="008954C3"/>
    <w:rsid w:val="008C0FBA"/>
    <w:rsid w:val="008C3F97"/>
    <w:rsid w:val="008D4E64"/>
    <w:rsid w:val="008D7AE7"/>
    <w:rsid w:val="008E66B3"/>
    <w:rsid w:val="008F1955"/>
    <w:rsid w:val="008F3AD8"/>
    <w:rsid w:val="00903331"/>
    <w:rsid w:val="00905BBC"/>
    <w:rsid w:val="00915CB0"/>
    <w:rsid w:val="00916A7C"/>
    <w:rsid w:val="00917A7A"/>
    <w:rsid w:val="0092269B"/>
    <w:rsid w:val="00933A1D"/>
    <w:rsid w:val="0093762D"/>
    <w:rsid w:val="009413F7"/>
    <w:rsid w:val="00953E4E"/>
    <w:rsid w:val="00954B9B"/>
    <w:rsid w:val="00957F55"/>
    <w:rsid w:val="00963A60"/>
    <w:rsid w:val="0096697D"/>
    <w:rsid w:val="00972A98"/>
    <w:rsid w:val="009A0C05"/>
    <w:rsid w:val="009A78BF"/>
    <w:rsid w:val="009B2AA3"/>
    <w:rsid w:val="009B5293"/>
    <w:rsid w:val="009B70C7"/>
    <w:rsid w:val="009C237E"/>
    <w:rsid w:val="009C579A"/>
    <w:rsid w:val="009D40FC"/>
    <w:rsid w:val="009D5C3C"/>
    <w:rsid w:val="009F1630"/>
    <w:rsid w:val="00A0452A"/>
    <w:rsid w:val="00A1106C"/>
    <w:rsid w:val="00A15303"/>
    <w:rsid w:val="00A15AA0"/>
    <w:rsid w:val="00A16455"/>
    <w:rsid w:val="00A46B7F"/>
    <w:rsid w:val="00A51076"/>
    <w:rsid w:val="00A51126"/>
    <w:rsid w:val="00A57A24"/>
    <w:rsid w:val="00A60892"/>
    <w:rsid w:val="00A6157B"/>
    <w:rsid w:val="00A77076"/>
    <w:rsid w:val="00A83EB9"/>
    <w:rsid w:val="00A86E23"/>
    <w:rsid w:val="00A915BF"/>
    <w:rsid w:val="00A921C9"/>
    <w:rsid w:val="00A96743"/>
    <w:rsid w:val="00A97FAD"/>
    <w:rsid w:val="00AA34EE"/>
    <w:rsid w:val="00AB3A2E"/>
    <w:rsid w:val="00AB6BAF"/>
    <w:rsid w:val="00AC06B1"/>
    <w:rsid w:val="00AC170B"/>
    <w:rsid w:val="00AC446A"/>
    <w:rsid w:val="00AC7D25"/>
    <w:rsid w:val="00AD3EDC"/>
    <w:rsid w:val="00AD48C7"/>
    <w:rsid w:val="00AD6D0C"/>
    <w:rsid w:val="00AD7712"/>
    <w:rsid w:val="00AE005E"/>
    <w:rsid w:val="00AF0B2B"/>
    <w:rsid w:val="00AF0D0F"/>
    <w:rsid w:val="00AF6A31"/>
    <w:rsid w:val="00B015B2"/>
    <w:rsid w:val="00B01A11"/>
    <w:rsid w:val="00B02043"/>
    <w:rsid w:val="00B22F05"/>
    <w:rsid w:val="00B24DDF"/>
    <w:rsid w:val="00B26E79"/>
    <w:rsid w:val="00B35EBE"/>
    <w:rsid w:val="00B42AD3"/>
    <w:rsid w:val="00B45D18"/>
    <w:rsid w:val="00B517FF"/>
    <w:rsid w:val="00B63E83"/>
    <w:rsid w:val="00B6500B"/>
    <w:rsid w:val="00B97417"/>
    <w:rsid w:val="00B9790B"/>
    <w:rsid w:val="00B97A26"/>
    <w:rsid w:val="00B97BB8"/>
    <w:rsid w:val="00BC3C3B"/>
    <w:rsid w:val="00BC4759"/>
    <w:rsid w:val="00BD2791"/>
    <w:rsid w:val="00BD54CE"/>
    <w:rsid w:val="00BE16AD"/>
    <w:rsid w:val="00BE2E6A"/>
    <w:rsid w:val="00BE43E0"/>
    <w:rsid w:val="00BF0747"/>
    <w:rsid w:val="00BF156B"/>
    <w:rsid w:val="00C00CFB"/>
    <w:rsid w:val="00C035ED"/>
    <w:rsid w:val="00C11A1F"/>
    <w:rsid w:val="00C2222F"/>
    <w:rsid w:val="00C23166"/>
    <w:rsid w:val="00C23B3E"/>
    <w:rsid w:val="00C27072"/>
    <w:rsid w:val="00C41866"/>
    <w:rsid w:val="00C44820"/>
    <w:rsid w:val="00C45FFB"/>
    <w:rsid w:val="00C464BE"/>
    <w:rsid w:val="00C57778"/>
    <w:rsid w:val="00C656A9"/>
    <w:rsid w:val="00C71F31"/>
    <w:rsid w:val="00C81E96"/>
    <w:rsid w:val="00C90105"/>
    <w:rsid w:val="00C967F0"/>
    <w:rsid w:val="00CA18F5"/>
    <w:rsid w:val="00CA1F22"/>
    <w:rsid w:val="00CA416D"/>
    <w:rsid w:val="00CC00BA"/>
    <w:rsid w:val="00CC0686"/>
    <w:rsid w:val="00CD4B31"/>
    <w:rsid w:val="00CE178C"/>
    <w:rsid w:val="00CF09AF"/>
    <w:rsid w:val="00D0367F"/>
    <w:rsid w:val="00D10A87"/>
    <w:rsid w:val="00D11A40"/>
    <w:rsid w:val="00D1469A"/>
    <w:rsid w:val="00D30A16"/>
    <w:rsid w:val="00D31227"/>
    <w:rsid w:val="00D331E2"/>
    <w:rsid w:val="00D33F00"/>
    <w:rsid w:val="00D35FFA"/>
    <w:rsid w:val="00D80AF1"/>
    <w:rsid w:val="00D852BC"/>
    <w:rsid w:val="00D875D7"/>
    <w:rsid w:val="00D9582E"/>
    <w:rsid w:val="00D95DB6"/>
    <w:rsid w:val="00DB035F"/>
    <w:rsid w:val="00DB0DDD"/>
    <w:rsid w:val="00DB4FBA"/>
    <w:rsid w:val="00DC6E0B"/>
    <w:rsid w:val="00DD013B"/>
    <w:rsid w:val="00DD1614"/>
    <w:rsid w:val="00DD1AB6"/>
    <w:rsid w:val="00DD7CF2"/>
    <w:rsid w:val="00E3021E"/>
    <w:rsid w:val="00E34C11"/>
    <w:rsid w:val="00E35004"/>
    <w:rsid w:val="00E378F7"/>
    <w:rsid w:val="00E5233E"/>
    <w:rsid w:val="00E72729"/>
    <w:rsid w:val="00E72ED9"/>
    <w:rsid w:val="00E86BAD"/>
    <w:rsid w:val="00E9136C"/>
    <w:rsid w:val="00EA1DC1"/>
    <w:rsid w:val="00EA612C"/>
    <w:rsid w:val="00ED09A8"/>
    <w:rsid w:val="00ED1E76"/>
    <w:rsid w:val="00ED4F1A"/>
    <w:rsid w:val="00ED542F"/>
    <w:rsid w:val="00EF59D0"/>
    <w:rsid w:val="00F01712"/>
    <w:rsid w:val="00F01994"/>
    <w:rsid w:val="00F05B56"/>
    <w:rsid w:val="00F166D7"/>
    <w:rsid w:val="00F24025"/>
    <w:rsid w:val="00F41812"/>
    <w:rsid w:val="00F4536F"/>
    <w:rsid w:val="00F45CCA"/>
    <w:rsid w:val="00F4641E"/>
    <w:rsid w:val="00F47302"/>
    <w:rsid w:val="00F47585"/>
    <w:rsid w:val="00F51F33"/>
    <w:rsid w:val="00F77952"/>
    <w:rsid w:val="00F812FC"/>
    <w:rsid w:val="00F82DDB"/>
    <w:rsid w:val="00F83DA9"/>
    <w:rsid w:val="00F861BA"/>
    <w:rsid w:val="00F91651"/>
    <w:rsid w:val="00F92591"/>
    <w:rsid w:val="00FA52F2"/>
    <w:rsid w:val="00FB2ABE"/>
    <w:rsid w:val="00FE5105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6C52E"/>
  <w15:docId w15:val="{363ACD8A-25E2-43F5-97C9-C48A3F44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602"/>
    <w:pPr>
      <w:spacing w:line="280" w:lineRule="atLeast"/>
      <w:jc w:val="both"/>
    </w:pPr>
    <w:rPr>
      <w:rFonts w:asciiTheme="minorHAnsi" w:hAnsiTheme="minorHAnsi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1B4B59"/>
    <w:pPr>
      <w:keepNext/>
      <w:spacing w:before="40" w:after="40"/>
      <w:jc w:val="center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4E6D3A"/>
    <w:pPr>
      <w:keepNext/>
      <w:spacing w:before="40" w:after="4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B4B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40" w:after="40"/>
      <w:jc w:val="center"/>
      <w:outlineLvl w:val="2"/>
    </w:pPr>
    <w:rPr>
      <w:rFonts w:cs="Arial"/>
      <w:b/>
      <w:bCs/>
      <w:sz w:val="40"/>
      <w:szCs w:val="26"/>
    </w:rPr>
  </w:style>
  <w:style w:type="paragraph" w:styleId="Heading4">
    <w:name w:val="heading 4"/>
    <w:basedOn w:val="Normal"/>
    <w:next w:val="Normal"/>
    <w:qFormat/>
    <w:rsid w:val="009B5293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20DE1"/>
    <w:pPr>
      <w:numPr>
        <w:numId w:val="17"/>
      </w:numPr>
    </w:pPr>
  </w:style>
  <w:style w:type="paragraph" w:customStyle="1" w:styleId="ActionItem">
    <w:name w:val="Action Item"/>
    <w:basedOn w:val="Normal"/>
    <w:qFormat/>
    <w:rsid w:val="003D6B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szCs w:val="20"/>
    </w:rPr>
  </w:style>
  <w:style w:type="paragraph" w:styleId="Footer">
    <w:name w:val="footer"/>
    <w:basedOn w:val="Normal"/>
    <w:rsid w:val="00886602"/>
    <w:pPr>
      <w:tabs>
        <w:tab w:val="center" w:pos="4153"/>
        <w:tab w:val="right" w:pos="8306"/>
      </w:tabs>
      <w:spacing w:line="240" w:lineRule="auto"/>
      <w:jc w:val="center"/>
    </w:pPr>
    <w:rPr>
      <w:sz w:val="16"/>
    </w:rPr>
  </w:style>
  <w:style w:type="character" w:styleId="PageNumber">
    <w:name w:val="page number"/>
    <w:basedOn w:val="DefaultParagraphFont"/>
    <w:rsid w:val="00DD1614"/>
    <w:rPr>
      <w:rFonts w:ascii="Verdana" w:hAnsi="Verdana"/>
      <w:sz w:val="16"/>
    </w:rPr>
  </w:style>
  <w:style w:type="table" w:styleId="TableGrid">
    <w:name w:val="Table Grid"/>
    <w:aliases w:val="Attendance"/>
    <w:basedOn w:val="TableNormal"/>
    <w:rsid w:val="00606948"/>
    <w:rPr>
      <w:rFonts w:ascii="Verdana" w:hAnsi="Verdana"/>
    </w:rPr>
    <w:tblPr/>
  </w:style>
  <w:style w:type="paragraph" w:styleId="Header">
    <w:name w:val="header"/>
    <w:basedOn w:val="Normal"/>
    <w:rsid w:val="00D852BC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D852BC"/>
    <w:pPr>
      <w:spacing w:after="160" w:line="240" w:lineRule="exact"/>
    </w:pPr>
    <w:rPr>
      <w:lang w:val="en-US" w:eastAsia="en-US"/>
    </w:rPr>
  </w:style>
  <w:style w:type="character" w:styleId="Emphasis">
    <w:name w:val="Emphasis"/>
    <w:basedOn w:val="DefaultParagraphFont"/>
    <w:qFormat/>
    <w:rsid w:val="00C00CFB"/>
    <w:rPr>
      <w:rFonts w:ascii="Verdana" w:hAnsi="Verdana"/>
      <w:i/>
      <w:iCs/>
      <w:sz w:val="20"/>
    </w:rPr>
  </w:style>
  <w:style w:type="paragraph" w:styleId="BalloonText">
    <w:name w:val="Balloon Text"/>
    <w:basedOn w:val="Normal"/>
    <w:link w:val="BalloonTextChar"/>
    <w:rsid w:val="0052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C1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17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D3A"/>
    <w:rPr>
      <w:color w:val="0000FF"/>
      <w:u w:val="single"/>
    </w:rPr>
  </w:style>
  <w:style w:type="paragraph" w:customStyle="1" w:styleId="Default">
    <w:name w:val="Default"/>
    <w:rsid w:val="00A83EB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7E291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0D0F"/>
    <w:rPr>
      <w:rFonts w:asciiTheme="minorHAnsi" w:hAnsiTheme="minorHAnsi"/>
      <w:sz w:val="22"/>
      <w:szCs w:val="24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3201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0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0107"/>
    <w:rPr>
      <w:rFonts w:asciiTheme="minorHAnsi" w:hAnsiTheme="minorHAnsi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0107"/>
    <w:rPr>
      <w:rFonts w:asciiTheme="minorHAnsi" w:hAnsiTheme="minorHAnsi"/>
      <w:b/>
      <w:bCs/>
      <w:lang w:val="en-AU" w:eastAsia="en-AU"/>
    </w:rPr>
  </w:style>
  <w:style w:type="paragraph" w:styleId="Revision">
    <w:name w:val="Revision"/>
    <w:hidden/>
    <w:uiPriority w:val="99"/>
    <w:semiHidden/>
    <w:rsid w:val="006100C3"/>
    <w:rPr>
      <w:rFonts w:asciiTheme="minorHAnsi" w:hAnsiTheme="minorHAnsi"/>
      <w:sz w:val="22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44B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61CD0"/>
    <w:pPr>
      <w:spacing w:line="240" w:lineRule="auto"/>
      <w:jc w:val="left"/>
    </w:pPr>
    <w:rPr>
      <w:rFonts w:ascii="Calibri" w:eastAsiaTheme="minorEastAsia" w:hAnsi="Calibri" w:cs="Calibri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D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  <w:divsChild>
                            <w:div w:id="15175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fma.com.au/ibor-transformation-working-gro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fma.com.au/getattachment/Policy/topics/Benchmarks-Ibor-Transition/Sections/Content/20220404-ITAWG-Market-Statement-Publication.pdf?lang=en-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ewyorkfed.org/medialibrary/Microsites/arrc/files/2023/ARRC-30-days-statemen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EED6-1BD2-499B-88A7-EA345F46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FASC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Striegl</dc:creator>
  <cp:lastModifiedBy>Justin Gillfeather</cp:lastModifiedBy>
  <cp:revision>4</cp:revision>
  <cp:lastPrinted>2020-09-02T07:15:00Z</cp:lastPrinted>
  <dcterms:created xsi:type="dcterms:W3CDTF">2023-06-09T01:50:00Z</dcterms:created>
  <dcterms:modified xsi:type="dcterms:W3CDTF">2023-06-09T03:16:00Z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f60613-a741-4790-ba46-c6813ca61c58_Enabled">
    <vt:lpwstr>True</vt:lpwstr>
  </property>
  <property fmtid="{D5CDD505-2E9C-101B-9397-08002B2CF9AE}" pid="3" name="MSIP_Label_bff60613-a741-4790-ba46-c6813ca61c58_SiteId">
    <vt:lpwstr>568a5434-7d3f-4714-b824-fe722e2748c0</vt:lpwstr>
  </property>
  <property fmtid="{D5CDD505-2E9C-101B-9397-08002B2CF9AE}" pid="4" name="MSIP_Label_bff60613-a741-4790-ba46-c6813ca61c58_Owner">
    <vt:lpwstr>David.Ziegler@macquarie.com</vt:lpwstr>
  </property>
  <property fmtid="{D5CDD505-2E9C-101B-9397-08002B2CF9AE}" pid="5" name="MSIP_Label_bff60613-a741-4790-ba46-c6813ca61c58_SetDate">
    <vt:lpwstr>2020-10-15T23:06:25.3522585Z</vt:lpwstr>
  </property>
  <property fmtid="{D5CDD505-2E9C-101B-9397-08002B2CF9AE}" pid="6" name="MSIP_Label_bff60613-a741-4790-ba46-c6813ca61c58_Name">
    <vt:lpwstr>Confidential</vt:lpwstr>
  </property>
  <property fmtid="{D5CDD505-2E9C-101B-9397-08002B2CF9AE}" pid="7" name="MSIP_Label_bff60613-a741-4790-ba46-c6813ca61c58_Application">
    <vt:lpwstr>Microsoft Azure Information Protection</vt:lpwstr>
  </property>
  <property fmtid="{D5CDD505-2E9C-101B-9397-08002B2CF9AE}" pid="8" name="MSIP_Label_bff60613-a741-4790-ba46-c6813ca61c58_ActionId">
    <vt:lpwstr>33de777e-c5c6-472d-a383-037ff4a8f1a5</vt:lpwstr>
  </property>
  <property fmtid="{D5CDD505-2E9C-101B-9397-08002B2CF9AE}" pid="9" name="MSIP_Label_bff60613-a741-4790-ba46-c6813ca61c58_Extended_MSFT_Method">
    <vt:lpwstr>Automatic</vt:lpwstr>
  </property>
  <property fmtid="{D5CDD505-2E9C-101B-9397-08002B2CF9AE}" pid="10" name="MSIP_Label_7a41e45d-23b2-4b9b-8824-4250be488857_Enabled">
    <vt:lpwstr>True</vt:lpwstr>
  </property>
  <property fmtid="{D5CDD505-2E9C-101B-9397-08002B2CF9AE}" pid="11" name="MSIP_Label_7a41e45d-23b2-4b9b-8824-4250be488857_SiteId">
    <vt:lpwstr>dddffba0-6c17-4f34-9748-3fa5e08cc366</vt:lpwstr>
  </property>
  <property fmtid="{D5CDD505-2E9C-101B-9397-08002B2CF9AE}" pid="12" name="MSIP_Label_7a41e45d-23b2-4b9b-8824-4250be488857_Owner">
    <vt:lpwstr>bierkensp@cba.com.au</vt:lpwstr>
  </property>
  <property fmtid="{D5CDD505-2E9C-101B-9397-08002B2CF9AE}" pid="13" name="MSIP_Label_7a41e45d-23b2-4b9b-8824-4250be488857_SetDate">
    <vt:lpwstr>2020-10-13T06:20:34.0119894Z</vt:lpwstr>
  </property>
  <property fmtid="{D5CDD505-2E9C-101B-9397-08002B2CF9AE}" pid="14" name="MSIP_Label_7a41e45d-23b2-4b9b-8824-4250be488857_Name">
    <vt:lpwstr>Confidential</vt:lpwstr>
  </property>
  <property fmtid="{D5CDD505-2E9C-101B-9397-08002B2CF9AE}" pid="15" name="MSIP_Label_7a41e45d-23b2-4b9b-8824-4250be488857_Application">
    <vt:lpwstr>Microsoft Azure Information Protection</vt:lpwstr>
  </property>
  <property fmtid="{D5CDD505-2E9C-101B-9397-08002B2CF9AE}" pid="16" name="MSIP_Label_7a41e45d-23b2-4b9b-8824-4250be488857_ActionId">
    <vt:lpwstr>06ac1141-559c-4fc6-ba5b-7cf5002a9839</vt:lpwstr>
  </property>
  <property fmtid="{D5CDD505-2E9C-101B-9397-08002B2CF9AE}" pid="17" name="MSIP_Label_7a41e45d-23b2-4b9b-8824-4250be488857_Extended_MSFT_Method">
    <vt:lpwstr>Manual</vt:lpwstr>
  </property>
  <property fmtid="{D5CDD505-2E9C-101B-9397-08002B2CF9AE}" pid="18" name="Sensitivity">
    <vt:lpwstr>Confidential Confidential</vt:lpwstr>
  </property>
  <property fmtid="{D5CDD505-2E9C-101B-9397-08002B2CF9AE}" pid="19" name="_NewReviewCycle">
    <vt:lpwstr/>
  </property>
</Properties>
</file>